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F0" w:rsidRPr="00CB7530" w:rsidRDefault="00C3549F" w:rsidP="00CB7530">
      <w:pPr>
        <w:pStyle w:val="Nessunaspaziatura"/>
        <w:jc w:val="both"/>
        <w:rPr>
          <w:rFonts w:ascii="Times New Roman" w:hAnsi="Times New Roman" w:cs="Times New Roman"/>
          <w:sz w:val="24"/>
          <w:szCs w:val="24"/>
        </w:rPr>
      </w:pPr>
      <w:r>
        <w:rPr>
          <w:rFonts w:ascii="Times New Roman" w:hAnsi="Times New Roman" w:cs="Times New Roman"/>
          <w:sz w:val="24"/>
          <w:szCs w:val="24"/>
        </w:rPr>
        <w:t>:</w:t>
      </w:r>
    </w:p>
    <w:p w:rsidR="00C948F4" w:rsidRPr="008F77AC" w:rsidRDefault="007E24F0" w:rsidP="00C948F4">
      <w:pPr>
        <w:pStyle w:val="Nessunaspaziatura"/>
        <w:jc w:val="center"/>
        <w:rPr>
          <w:rFonts w:ascii="Times New Roman" w:hAnsi="Times New Roman" w:cs="Times New Roman"/>
          <w:b/>
          <w:bCs/>
          <w:sz w:val="28"/>
          <w:szCs w:val="28"/>
        </w:rPr>
      </w:pPr>
      <w:r w:rsidRPr="00CB7530">
        <w:rPr>
          <w:rFonts w:ascii="Times New Roman" w:hAnsi="Times New Roman" w:cs="Times New Roman"/>
          <w:i/>
          <w:iCs/>
          <w:sz w:val="24"/>
          <w:szCs w:val="24"/>
        </w:rPr>
        <w:t xml:space="preserve"> </w:t>
      </w:r>
      <w:r w:rsidR="00C948F4" w:rsidRPr="008F77AC">
        <w:rPr>
          <w:rFonts w:ascii="Times New Roman" w:hAnsi="Times New Roman" w:cs="Times New Roman"/>
          <w:b/>
          <w:bCs/>
          <w:sz w:val="28"/>
          <w:szCs w:val="28"/>
        </w:rPr>
        <w:t>Risorse proprie dell'Unione europea: riformare il sistema di finanziamento dell'UE</w:t>
      </w:r>
      <w:r w:rsidR="00C948F4">
        <w:rPr>
          <w:rFonts w:ascii="Times New Roman" w:hAnsi="Times New Roman" w:cs="Times New Roman"/>
          <w:b/>
          <w:bCs/>
          <w:sz w:val="28"/>
          <w:szCs w:val="28"/>
        </w:rPr>
        <w:t>. I Programmi finanziati dall’Europa.</w:t>
      </w:r>
    </w:p>
    <w:p w:rsidR="00C948F4" w:rsidRPr="008F77AC" w:rsidRDefault="00C948F4" w:rsidP="00C948F4">
      <w:pPr>
        <w:pStyle w:val="Nessunaspaziatura"/>
        <w:jc w:val="center"/>
        <w:rPr>
          <w:rFonts w:ascii="Times New Roman" w:hAnsi="Times New Roman" w:cs="Times New Roman"/>
          <w:b/>
          <w:bCs/>
          <w:sz w:val="28"/>
          <w:szCs w:val="28"/>
        </w:rPr>
      </w:pPr>
      <w:r w:rsidRPr="008F77AC">
        <w:rPr>
          <w:rFonts w:ascii="Times New Roman" w:hAnsi="Times New Roman" w:cs="Times New Roman"/>
          <w:b/>
          <w:bCs/>
          <w:sz w:val="28"/>
          <w:szCs w:val="28"/>
        </w:rPr>
        <w:t>Next Generation EU</w:t>
      </w:r>
    </w:p>
    <w:p w:rsidR="00C948F4" w:rsidRDefault="00C948F4" w:rsidP="00C948F4">
      <w:pPr>
        <w:pStyle w:val="Nessunaspaziatura"/>
        <w:jc w:val="center"/>
        <w:rPr>
          <w:rFonts w:ascii="Times New Roman" w:hAnsi="Times New Roman" w:cs="Times New Roman"/>
          <w:b/>
          <w:bCs/>
        </w:rPr>
      </w:pPr>
    </w:p>
    <w:p w:rsidR="00C948F4" w:rsidRPr="00AB2CB0" w:rsidRDefault="00C948F4" w:rsidP="00C948F4">
      <w:pPr>
        <w:pStyle w:val="Nessunaspaziatura"/>
        <w:jc w:val="center"/>
        <w:rPr>
          <w:rFonts w:ascii="Times New Roman" w:hAnsi="Times New Roman" w:cs="Times New Roman"/>
          <w:b/>
          <w:bCs/>
        </w:rPr>
      </w:pPr>
    </w:p>
    <w:p w:rsidR="00C948F4" w:rsidRPr="00A57C9F" w:rsidRDefault="00C948F4" w:rsidP="00C948F4">
      <w:pPr>
        <w:pStyle w:val="Nessunaspaziatura"/>
        <w:jc w:val="both"/>
        <w:rPr>
          <w:rFonts w:ascii="Times New Roman" w:hAnsi="Times New Roman" w:cs="Times New Roman"/>
          <w:sz w:val="24"/>
          <w:szCs w:val="24"/>
        </w:rPr>
      </w:pPr>
    </w:p>
    <w:p w:rsidR="00967DBB"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14 dicembre 2020 il Consiglio ha adottato la decisione che riforma il sistema di finanziamento del bilancio dell'UE, nel contesto di un pacchetto comprendente il nuovo quadro finanziario pluriennale (QFP) e lo strumento di recupero della prossima generazione dell'UE (Next Generation EU-NGEU). </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 xml:space="preserve">L'aumento concordato del livello massimo di risorse che possono essere richieste agli Stati membri è una condizione preliminare per le operazioni di prestito delle NGEU. La ratifica da parte di tutti gli Stati membri è ora richiesta, prima che la decisione possa entrare in vigore, con applicazione retroattiva dal 1 ° gennaio 2021. </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18 marzo 2021, 13 Stati membri hanno ratificato la decisione : Belgio, Bulgaria, Grecia, Spagna, Francia, Croazia, Italia, Cipro, Lettonia, Lussemburgo, Malta, Portogallo e Slovenia.</w:t>
      </w:r>
    </w:p>
    <w:p w:rsidR="00967DBB" w:rsidRPr="00A57C9F" w:rsidRDefault="00967DBB" w:rsidP="00C948F4">
      <w:pPr>
        <w:pStyle w:val="Nessunaspaziatura"/>
        <w:jc w:val="both"/>
        <w:rPr>
          <w:rFonts w:ascii="Times New Roman" w:eastAsia="Times New Roman" w:hAnsi="Times New Roman" w:cs="Times New Roman"/>
          <w:sz w:val="24"/>
          <w:szCs w:val="24"/>
          <w:lang w:eastAsia="it-IT"/>
        </w:rPr>
      </w:pPr>
    </w:p>
    <w:p w:rsidR="00967DBB"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Parlamento ha accelerato il suo parere legislativo, adottato nel settembre 2020, per consentire al Consiglio di garantire il lancio tempestivo di NGEU. </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Nei negoziati più ampi sulle finanze dell'UE, Il Parlamento ha sollecitato un'adeguata riforma del sistema di finanziamento sottolineando che l'introduzione di un paniere di nuove risorse proprie dovrebbe coprire almeno i costi di rimborso dell'NGEU (sia per il capitale che per gli interessi). Considerando il nuovo contributo della plastica come primo passo parziale, in questa direzione, il Parlamento è riuscito a includere una tabella di marcia dettagliata, per l'introduzione di varie nuove risorse proprie aggiuntive entro il 2026 nell'accordo interistituzionale sulle questioni di bilancio con il Consiglio e la Commissione europea. Le risorse previste sono collegate alle politiche dell'UE in materia di clima e mercato unico. I briefing "La legislazione dell'UE in corso" vengono aggiornati nelle fasi chiave dell'intera procedura legislativa. Le risorse previste sono collegate alle politiche dell'UE in materia di clima e mercato unico. I briefing "La legislazione dell'UE in corso" vengono aggiornati nelle fasi chiave dell'intera procedura legislativa.  Le risorse previste sono collegate alle politiche dell'UE in materia di clima e mercato unico</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22-03-2021</w:t>
      </w:r>
    </w:p>
    <w:p w:rsidR="00C948F4" w:rsidRPr="00A57C9F" w:rsidRDefault="00C948F4" w:rsidP="00C948F4">
      <w:pPr>
        <w:pStyle w:val="Nessunaspaziatura"/>
        <w:jc w:val="both"/>
        <w:rPr>
          <w:rFonts w:ascii="Times New Roman" w:eastAsia="Times New Roman" w:hAnsi="Times New Roman" w:cs="Times New Roman"/>
          <w:b/>
          <w:sz w:val="24"/>
          <w:szCs w:val="24"/>
          <w:lang w:eastAsia="it-IT"/>
        </w:rPr>
      </w:pPr>
      <w:r w:rsidRPr="00A57C9F">
        <w:rPr>
          <w:rFonts w:ascii="Times New Roman" w:eastAsia="Times New Roman" w:hAnsi="Times New Roman" w:cs="Times New Roman"/>
          <w:b/>
          <w:bCs/>
          <w:sz w:val="24"/>
          <w:szCs w:val="24"/>
          <w:lang w:eastAsia="it-IT"/>
        </w:rPr>
        <w:t>La decisione sulle risorse proprie (DRP)</w:t>
      </w:r>
      <w:r w:rsidRPr="00A57C9F">
        <w:rPr>
          <w:rFonts w:ascii="Times New Roman" w:eastAsia="Times New Roman" w:hAnsi="Times New Roman" w:cs="Times New Roman"/>
          <w:b/>
          <w:sz w:val="24"/>
          <w:szCs w:val="24"/>
          <w:lang w:eastAsia="it-IT"/>
        </w:rPr>
        <w:t xml:space="preserve"> stabilisce come viene finanziato il bilancio dell'UE. La sua entrata in vigore richiede l'approvazione di tutti gli Stati membri dell'UE, secondo i loro requisiti costituzionali. Nella maggioranza degli Stati membri, i parlamenti nazionali sono responsabili della ratifica della decisione. Negli altri, solo il governo decide sull'approvazione. Il completamento della procedura di ratifica, da parte di tutti gli Stati membri, ha richiesto generalmente più di due anni. Tuttavia, c'è una maggiore urgenza per la DRP adottata dal Consiglio nel dicembre 2020, poiché la sua entrata in vigore è una condizione preliminare per il lancio dello strumento di recupero dell'UE di prossima generazione (NGEU). L'obiettivo è quello di completare la procedura di ratifica prima dell'estate 2021, al fine di garantire il lancio tempestivo della misura.</w:t>
      </w:r>
    </w:p>
    <w:p w:rsidR="00C948F4" w:rsidRPr="00A57C9F" w:rsidRDefault="00C948F4" w:rsidP="00C948F4">
      <w:pPr>
        <w:pStyle w:val="Nessunaspaziatura"/>
        <w:jc w:val="center"/>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sz w:val="24"/>
          <w:szCs w:val="24"/>
          <w:lang w:eastAsia="it-IT"/>
        </w:rPr>
        <w:br/>
      </w:r>
      <w:r w:rsidRPr="00A57C9F">
        <w:rPr>
          <w:rFonts w:ascii="Times New Roman" w:eastAsia="Times New Roman" w:hAnsi="Times New Roman" w:cs="Times New Roman"/>
          <w:b/>
          <w:bCs/>
          <w:sz w:val="28"/>
          <w:szCs w:val="28"/>
          <w:lang w:eastAsia="it-IT"/>
        </w:rPr>
        <w:t>Quadro finanziario pluriennale 2021-2027</w:t>
      </w:r>
      <w:r w:rsidRPr="00A57C9F">
        <w:rPr>
          <w:rFonts w:ascii="Times New Roman" w:eastAsia="Times New Roman" w:hAnsi="Times New Roman" w:cs="Times New Roman"/>
          <w:b/>
          <w:sz w:val="24"/>
          <w:szCs w:val="24"/>
          <w:lang w:eastAsia="it-IT"/>
        </w:rPr>
        <w:br/>
      </w:r>
      <w:r w:rsidRPr="00A57C9F">
        <w:rPr>
          <w:rFonts w:ascii="Times New Roman" w:eastAsia="Times New Roman" w:hAnsi="Times New Roman" w:cs="Times New Roman"/>
          <w:b/>
          <w:bCs/>
          <w:sz w:val="24"/>
          <w:szCs w:val="24"/>
          <w:lang w:eastAsia="it-IT"/>
        </w:rPr>
        <w:t>Dotazioni totali per linea di bilancio</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noProof/>
          <w:sz w:val="24"/>
          <w:szCs w:val="24"/>
          <w:lang w:eastAsia="it-IT"/>
        </w:rPr>
        <w:lastRenderedPageBreak/>
        <w:drawing>
          <wp:inline distT="0" distB="0" distL="0" distR="0">
            <wp:extent cx="6120130" cy="1294130"/>
            <wp:effectExtent l="0" t="0" r="0" b="127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294130"/>
                    </a:xfrm>
                    <a:prstGeom prst="rect">
                      <a:avLst/>
                    </a:prstGeom>
                    <a:noFill/>
                    <a:ln>
                      <a:noFill/>
                    </a:ln>
                  </pic:spPr>
                </pic:pic>
              </a:graphicData>
            </a:graphic>
          </wp:inline>
        </w:drawing>
      </w:r>
    </w:p>
    <w:p w:rsidR="00C948F4" w:rsidRPr="00A57C9F" w:rsidRDefault="00C948F4" w:rsidP="00C948F4">
      <w:pPr>
        <w:pStyle w:val="Nessunaspaziatura"/>
        <w:jc w:val="both"/>
        <w:rPr>
          <w:rFonts w:ascii="Times New Roman" w:eastAsia="Times New Roman" w:hAnsi="Times New Roman" w:cs="Times New Roman"/>
          <w:sz w:val="16"/>
          <w:szCs w:val="16"/>
          <w:lang w:eastAsia="it-IT"/>
        </w:rPr>
      </w:pPr>
      <w:r w:rsidRPr="00A57C9F">
        <w:rPr>
          <w:rFonts w:ascii="Times New Roman" w:eastAsia="Times New Roman" w:hAnsi="Times New Roman" w:cs="Times New Roman"/>
          <w:i/>
          <w:iCs/>
          <w:sz w:val="16"/>
          <w:szCs w:val="16"/>
          <w:lang w:eastAsia="it-IT"/>
        </w:rPr>
        <w:t>Tutti gli importi sono espressi in miliardi di euro, a prezzi costanti del 2018.</w:t>
      </w:r>
      <w:r w:rsidRPr="00A57C9F">
        <w:rPr>
          <w:rFonts w:ascii="Times New Roman" w:eastAsia="Times New Roman" w:hAnsi="Times New Roman" w:cs="Times New Roman"/>
          <w:sz w:val="16"/>
          <w:szCs w:val="16"/>
          <w:lang w:eastAsia="it-IT"/>
        </w:rPr>
        <w:t> (</w:t>
      </w:r>
      <w:r w:rsidRPr="00A57C9F">
        <w:rPr>
          <w:rFonts w:ascii="Times New Roman" w:eastAsia="Times New Roman" w:hAnsi="Times New Roman" w:cs="Times New Roman"/>
          <w:i/>
          <w:iCs/>
          <w:sz w:val="16"/>
          <w:szCs w:val="16"/>
          <w:lang w:eastAsia="it-IT"/>
        </w:rPr>
        <w:t>Fonte: Commissione europea)</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Rispetto all'accordo del 21 luglio 2020, gli importi deliberati comprendono il rafforzamento mirato di alcuni programmi per un totale di 15 miliardi di euro.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I programmi in questione sono: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1- Orizzonte Europa (9° Programma Quadro di R&amp;S),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2- Erasmus+,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3- EU4Health, (Programma salute)</w:t>
      </w:r>
      <w:r w:rsidRPr="00A57C9F">
        <w:t xml:space="preserve"> </w:t>
      </w:r>
      <w:r w:rsidRPr="00A57C9F">
        <w:rPr>
          <w:rFonts w:ascii="Times New Roman" w:eastAsia="Times New Roman" w:hAnsi="Times New Roman" w:cs="Times New Roman"/>
          <w:i/>
          <w:iCs/>
          <w:sz w:val="24"/>
          <w:szCs w:val="24"/>
          <w:lang w:eastAsia="it-IT"/>
        </w:rPr>
        <w:t>Regolamento 2021/522</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4- il Fondo per la gestione integrata delle frontiere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5- Diritti e valori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6- Europa creativa</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7- InvestEU, </w:t>
      </w:r>
    </w:p>
    <w:p w:rsidR="00C948F4" w:rsidRPr="00A57C9F" w:rsidRDefault="00C948F4" w:rsidP="00C948F4">
      <w:pPr>
        <w:pStyle w:val="Nessunaspaziatura"/>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 xml:space="preserve">8- l'Agenzia europea della guardia di frontiera e costiera </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i/>
          <w:iCs/>
          <w:sz w:val="24"/>
          <w:szCs w:val="24"/>
          <w:lang w:eastAsia="it-IT"/>
        </w:rPr>
        <w:t>9- Aiuto umanitario</w:t>
      </w:r>
      <w:r w:rsidRPr="00A57C9F">
        <w:rPr>
          <w:rFonts w:ascii="Times New Roman" w:eastAsia="Times New Roman" w:hAnsi="Times New Roman" w:cs="Times New Roman"/>
          <w:sz w:val="24"/>
          <w:szCs w:val="24"/>
          <w:lang w:eastAsia="it-IT"/>
        </w:rPr>
        <w:t xml:space="preserve"> </w:t>
      </w:r>
    </w:p>
    <w:p w:rsidR="00C948F4" w:rsidRDefault="00C948F4" w:rsidP="00C948F4">
      <w:pPr>
        <w:pStyle w:val="Nessunaspaziatura"/>
        <w:jc w:val="both"/>
        <w:rPr>
          <w:rFonts w:ascii="Times New Roman" w:eastAsia="Times New Roman" w:hAnsi="Times New Roman" w:cs="Times New Roman"/>
          <w:color w:val="000000"/>
          <w:sz w:val="24"/>
          <w:szCs w:val="24"/>
          <w:lang w:eastAsia="it-IT"/>
        </w:rPr>
      </w:pPr>
    </w:p>
    <w:p w:rsidR="00C948F4" w:rsidRPr="00016A5C" w:rsidRDefault="00C948F4" w:rsidP="00C948F4">
      <w:pPr>
        <w:pStyle w:val="Nessunaspaziatura"/>
        <w:jc w:val="center"/>
        <w:rPr>
          <w:rFonts w:ascii="Times New Roman" w:eastAsia="Times New Roman" w:hAnsi="Times New Roman" w:cs="Times New Roman"/>
          <w:b/>
          <w:bCs/>
          <w:color w:val="000000"/>
          <w:sz w:val="32"/>
          <w:szCs w:val="32"/>
          <w:lang w:eastAsia="it-IT"/>
        </w:rPr>
      </w:pPr>
      <w:r w:rsidRPr="00016A5C">
        <w:rPr>
          <w:rFonts w:ascii="Times New Roman" w:eastAsia="Times New Roman" w:hAnsi="Times New Roman" w:cs="Times New Roman"/>
          <w:b/>
          <w:bCs/>
          <w:color w:val="000000"/>
          <w:sz w:val="32"/>
          <w:szCs w:val="32"/>
          <w:lang w:eastAsia="it-IT"/>
        </w:rPr>
        <w:t>Next Generation EU</w:t>
      </w:r>
    </w:p>
    <w:p w:rsidR="00C948F4" w:rsidRDefault="00C948F4" w:rsidP="00C948F4">
      <w:pPr>
        <w:pStyle w:val="Nessunaspaziatura"/>
        <w:jc w:val="both"/>
        <w:rPr>
          <w:rFonts w:ascii="Times New Roman" w:hAnsi="Times New Roman" w:cs="Times New Roman"/>
          <w:sz w:val="24"/>
          <w:szCs w:val="24"/>
          <w:lang w:eastAsia="it-IT"/>
        </w:rPr>
      </w:pPr>
    </w:p>
    <w:p w:rsidR="00C948F4" w:rsidRPr="00A57C9F" w:rsidRDefault="00C948F4" w:rsidP="00C948F4">
      <w:pPr>
        <w:pStyle w:val="Nessunaspaziatura"/>
        <w:jc w:val="both"/>
        <w:rPr>
          <w:rFonts w:ascii="Times New Roman" w:hAnsi="Times New Roman" w:cs="Times New Roman"/>
          <w:sz w:val="24"/>
          <w:szCs w:val="24"/>
          <w:lang w:eastAsia="it-IT"/>
        </w:rPr>
      </w:pPr>
      <w:r w:rsidRPr="00A57C9F">
        <w:rPr>
          <w:rFonts w:ascii="Times New Roman" w:hAnsi="Times New Roman" w:cs="Times New Roman"/>
          <w:sz w:val="24"/>
          <w:szCs w:val="24"/>
          <w:lang w:eastAsia="it-IT"/>
        </w:rPr>
        <w:t>Next Generation EU è uno strumento temporaneo per la ripresa da 750 miliardi di euro, che contribuirà a riparare i danni economici e sociali immediati causati dalla pandemia di coronavirus per creare un’Europa post Covid 19 più verde, digitale, resiliente e adeguata alle sfide presenti e future.</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w:t>
      </w:r>
      <w:hyperlink r:id="rId9" w:history="1">
        <w:r w:rsidRPr="00A57C9F">
          <w:rPr>
            <w:rFonts w:ascii="Times New Roman" w:eastAsia="Times New Roman" w:hAnsi="Times New Roman" w:cs="Times New Roman"/>
            <w:sz w:val="24"/>
            <w:szCs w:val="24"/>
            <w:u w:val="single"/>
            <w:lang w:eastAsia="it-IT"/>
          </w:rPr>
          <w:t>dispositivo per la ripresa e la resilienza</w:t>
        </w:r>
      </w:hyperlink>
      <w:r w:rsidRPr="00A57C9F">
        <w:rPr>
          <w:rFonts w:ascii="Times New Roman" w:eastAsia="Times New Roman" w:hAnsi="Times New Roman" w:cs="Times New Roman"/>
          <w:sz w:val="24"/>
          <w:szCs w:val="24"/>
          <w:lang w:eastAsia="it-IT"/>
        </w:rPr>
        <w:t>: è il fulcro di Next Generation EU, e metterà a disposizione 672,5 miliardi di euro di prestiti e sovvenzioni, per sostenere le riforme e gli investimenti effettuati dagli Stati membri. L'obiettivo è attenuare l'impatto economico e sociale della pandemia di coronavirus e rendere le economie e le società dei paesi europei più sostenibili, resilienti e preparate alle sfide e alle opportunità della transizione ecologica e di quella digitale. Gli Stati membri stanno preparando i loro piani di ripresa e resilienza, che daranno diritto a ricevere fondi nell'ambito dello strumento per la ripresa e la resilienza</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Assistenza alla ripresa per la coesione e i territori d'Europa (REACT-EU): Next Generation EU stanzia anche 47,5 miliardi di euro per REACT-EU, una nuova iniziativa che porta avanti e amplia le misure di risposta alla crisi e quelle per il superamento degli effetti della crisi attuate mediante l' </w:t>
      </w:r>
      <w:hyperlink r:id="rId10" w:history="1">
        <w:r w:rsidRPr="00A57C9F">
          <w:rPr>
            <w:rFonts w:ascii="Times New Roman" w:eastAsia="Times New Roman" w:hAnsi="Times New Roman" w:cs="Times New Roman"/>
            <w:sz w:val="24"/>
            <w:szCs w:val="24"/>
            <w:u w:val="single"/>
            <w:lang w:eastAsia="it-IT"/>
          </w:rPr>
          <w:t>iniziativa in risposta al coronavirus Plus</w:t>
        </w:r>
      </w:hyperlink>
      <w:r w:rsidRPr="00A57C9F">
        <w:rPr>
          <w:rFonts w:ascii="Times New Roman" w:eastAsia="Times New Roman" w:hAnsi="Times New Roman" w:cs="Times New Roman"/>
          <w:sz w:val="24"/>
          <w:szCs w:val="24"/>
          <w:lang w:eastAsia="it-IT"/>
        </w:rPr>
        <w:t>. REACT-EU contribuirà a una ripresa economica verde, digitale e resiliente. I fondi saranno ripartiti tra:</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w:t>
      </w:r>
      <w:hyperlink r:id="rId11" w:history="1">
        <w:r w:rsidRPr="00A57C9F">
          <w:rPr>
            <w:rFonts w:ascii="Times New Roman" w:eastAsia="Times New Roman" w:hAnsi="Times New Roman" w:cs="Times New Roman"/>
            <w:sz w:val="24"/>
            <w:szCs w:val="24"/>
            <w:u w:val="single"/>
            <w:lang w:eastAsia="it-IT"/>
          </w:rPr>
          <w:t>Fondo europeo di sviluppo regionale (FESR)</w:t>
        </w:r>
      </w:hyperlink>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w:t>
      </w:r>
      <w:hyperlink r:id="rId12" w:history="1">
        <w:r w:rsidRPr="00A57C9F">
          <w:rPr>
            <w:rFonts w:ascii="Times New Roman" w:eastAsia="Times New Roman" w:hAnsi="Times New Roman" w:cs="Times New Roman"/>
            <w:sz w:val="24"/>
            <w:szCs w:val="24"/>
            <w:u w:val="single"/>
            <w:lang w:eastAsia="it-IT"/>
          </w:rPr>
          <w:t>Fondo sociale europeo (FSE)</w:t>
        </w:r>
      </w:hyperlink>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w:t>
      </w:r>
      <w:hyperlink r:id="rId13" w:history="1">
        <w:r w:rsidRPr="00A57C9F">
          <w:rPr>
            <w:rFonts w:ascii="Times New Roman" w:eastAsia="Times New Roman" w:hAnsi="Times New Roman" w:cs="Times New Roman"/>
            <w:sz w:val="24"/>
            <w:szCs w:val="24"/>
            <w:u w:val="single"/>
            <w:lang w:eastAsia="it-IT"/>
          </w:rPr>
          <w:t>Fondo di aiuti europei agli indigenti (FEAD)</w:t>
        </w:r>
      </w:hyperlink>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 xml:space="preserve">Tali finanziamenti aggiuntivi saranno erogati nel periodo 2021-2022 nel quadro di Next Generation EU e, già nel 2020, attraverso una revisione mirata dell'attuale quadro finanziario. </w:t>
      </w:r>
      <w:r w:rsidRPr="00A57C9F">
        <w:rPr>
          <w:rFonts w:ascii="Times New Roman" w:hAnsi="Times New Roman" w:cs="Times New Roman"/>
          <w:sz w:val="24"/>
          <w:szCs w:val="24"/>
          <w:lang w:eastAsia="it-IT"/>
        </w:rPr>
        <w:t>Next Generation EU assegnerà anche ulteriori finanziamenti ad altri programmi o fondi europei quali Orizzonte 2020, InvestEU, il Fondo per lo sviluppo rurale o il Fondo per una transizione giusta.</w:t>
      </w:r>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Pr="00E8357E" w:rsidRDefault="00C948F4" w:rsidP="00C948F4">
      <w:pPr>
        <w:pStyle w:val="Nessunaspaziatura"/>
        <w:jc w:val="both"/>
        <w:rPr>
          <w:rFonts w:ascii="Times New Roman" w:eastAsia="Times New Roman" w:hAnsi="Times New Roman" w:cs="Times New Roman"/>
          <w:b/>
          <w:bCs/>
          <w:color w:val="404040"/>
          <w:sz w:val="24"/>
          <w:szCs w:val="24"/>
          <w:lang w:eastAsia="it-IT"/>
        </w:rPr>
      </w:pPr>
      <w:r w:rsidRPr="00E8357E">
        <w:rPr>
          <w:rFonts w:ascii="Times New Roman" w:eastAsia="Times New Roman" w:hAnsi="Times New Roman" w:cs="Times New Roman"/>
          <w:b/>
          <w:bCs/>
          <w:color w:val="404040"/>
          <w:sz w:val="24"/>
          <w:szCs w:val="24"/>
          <w:lang w:eastAsia="it-IT"/>
        </w:rPr>
        <w:t>Ripartizione di Next Generation EU:</w:t>
      </w:r>
    </w:p>
    <w:tbl>
      <w:tblPr>
        <w:tblpPr w:leftFromText="45" w:rightFromText="45" w:vertAnchor="text"/>
        <w:tblW w:w="8566" w:type="dxa"/>
        <w:shd w:val="clear" w:color="auto" w:fill="FFFFFF"/>
        <w:tblCellMar>
          <w:top w:w="15" w:type="dxa"/>
          <w:left w:w="15" w:type="dxa"/>
          <w:bottom w:w="15" w:type="dxa"/>
          <w:right w:w="15" w:type="dxa"/>
        </w:tblCellMar>
        <w:tblLook w:val="04A0"/>
      </w:tblPr>
      <w:tblGrid>
        <w:gridCol w:w="8530"/>
        <w:gridCol w:w="36"/>
      </w:tblGrid>
      <w:tr w:rsidR="00C948F4" w:rsidRPr="00CB7530" w:rsidTr="00967DBB">
        <w:trPr>
          <w:trHeight w:val="556"/>
        </w:trPr>
        <w:tc>
          <w:tcPr>
            <w:tcW w:w="0" w:type="auto"/>
            <w:shd w:val="clear" w:color="auto" w:fill="FFFFFF"/>
            <w:vAlign w:val="center"/>
          </w:tcPr>
          <w:tbl>
            <w:tblPr>
              <w:tblpPr w:leftFromText="45" w:rightFromText="45" w:vertAnchor="text"/>
              <w:tblW w:w="8500" w:type="dxa"/>
              <w:tblBorders>
                <w:insideH w:val="single" w:sz="4" w:space="0" w:color="auto"/>
              </w:tblBorders>
              <w:shd w:val="clear" w:color="auto" w:fill="FFFFFF"/>
              <w:tblCellMar>
                <w:top w:w="15" w:type="dxa"/>
                <w:left w:w="15" w:type="dxa"/>
                <w:bottom w:w="15" w:type="dxa"/>
                <w:right w:w="15" w:type="dxa"/>
              </w:tblCellMar>
              <w:tblLook w:val="04A0"/>
            </w:tblPr>
            <w:tblGrid>
              <w:gridCol w:w="5245"/>
              <w:gridCol w:w="3255"/>
            </w:tblGrid>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lastRenderedPageBreak/>
                    <w:t>Dispositivo europeo per la ripresa e la resilienza</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672,5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i/>
                      <w:iCs/>
                      <w:sz w:val="24"/>
                      <w:szCs w:val="24"/>
                      <w:lang w:eastAsia="it-IT"/>
                    </w:rPr>
                    <w:t>di cui prestiti</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i/>
                      <w:iCs/>
                      <w:sz w:val="24"/>
                      <w:szCs w:val="24"/>
                      <w:lang w:eastAsia="it-IT"/>
                    </w:rPr>
                    <w:t>360 miliardi di euro</w:t>
                  </w:r>
                </w:p>
              </w:tc>
            </w:tr>
            <w:tr w:rsidR="00C948F4" w:rsidRPr="00623D58" w:rsidTr="00967DBB">
              <w:trPr>
                <w:trHeight w:val="567"/>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i/>
                      <w:iCs/>
                      <w:sz w:val="24"/>
                      <w:szCs w:val="24"/>
                      <w:lang w:eastAsia="it-IT"/>
                    </w:rPr>
                    <w:t>di cui sovvenzioni</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i/>
                      <w:iCs/>
                      <w:sz w:val="24"/>
                      <w:szCs w:val="24"/>
                      <w:lang w:eastAsia="it-IT"/>
                    </w:rPr>
                    <w:t>312,5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REACT-EU</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47,5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Orizzonte Europa</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5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Fondo InvestEU</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5,6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Sviluppo rurale</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7,5 miliardi di euro</w:t>
                  </w:r>
                </w:p>
              </w:tc>
            </w:tr>
            <w:tr w:rsidR="00C948F4" w:rsidRPr="00623D58" w:rsidTr="00967DBB">
              <w:trPr>
                <w:trHeight w:val="567"/>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Fondo per una transizione giusta (JTF)</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10 miliardi di euro</w:t>
                  </w:r>
                </w:p>
              </w:tc>
            </w:tr>
            <w:tr w:rsidR="00C948F4" w:rsidRPr="00623D58" w:rsidTr="00967DBB">
              <w:trPr>
                <w:trHeight w:val="556"/>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RescEU</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1,9 miliardi di euro</w:t>
                  </w:r>
                </w:p>
              </w:tc>
            </w:tr>
            <w:tr w:rsidR="00C948F4" w:rsidRPr="00623D58" w:rsidTr="00967DBB">
              <w:trPr>
                <w:trHeight w:val="268"/>
              </w:trPr>
              <w:tc>
                <w:tcPr>
                  <w:tcW w:w="5245" w:type="dxa"/>
                  <w:shd w:val="clear" w:color="auto" w:fill="FFFFFF"/>
                  <w:vAlign w:val="center"/>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p>
              </w:tc>
              <w:tc>
                <w:tcPr>
                  <w:tcW w:w="3255" w:type="dxa"/>
                  <w:shd w:val="clear" w:color="auto" w:fill="FFFFFF"/>
                  <w:vAlign w:val="center"/>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p>
              </w:tc>
            </w:tr>
            <w:tr w:rsidR="00C948F4" w:rsidRPr="00623D58" w:rsidTr="00967DBB">
              <w:trPr>
                <w:trHeight w:val="567"/>
              </w:trPr>
              <w:tc>
                <w:tcPr>
                  <w:tcW w:w="524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TOTALE</w:t>
                  </w:r>
                </w:p>
              </w:tc>
              <w:tc>
                <w:tcPr>
                  <w:tcW w:w="3255" w:type="dxa"/>
                  <w:shd w:val="clear" w:color="auto" w:fill="FFFFFF"/>
                  <w:vAlign w:val="center"/>
                  <w:hideMark/>
                </w:tcPr>
                <w:p w:rsidR="00C948F4" w:rsidRPr="00623D58" w:rsidRDefault="00C948F4" w:rsidP="00967DBB">
                  <w:pPr>
                    <w:pStyle w:val="Nessunaspaziatura"/>
                    <w:jc w:val="both"/>
                    <w:rPr>
                      <w:rFonts w:ascii="Times New Roman" w:eastAsia="Times New Roman" w:hAnsi="Times New Roman" w:cs="Times New Roman"/>
                      <w:sz w:val="24"/>
                      <w:szCs w:val="24"/>
                      <w:lang w:eastAsia="it-IT"/>
                    </w:rPr>
                  </w:pPr>
                  <w:r w:rsidRPr="00623D58">
                    <w:rPr>
                      <w:rFonts w:ascii="Times New Roman" w:eastAsia="Times New Roman" w:hAnsi="Times New Roman" w:cs="Times New Roman"/>
                      <w:sz w:val="24"/>
                      <w:szCs w:val="24"/>
                      <w:lang w:eastAsia="it-IT"/>
                    </w:rPr>
                    <w:t>750 miliardi di euro</w:t>
                  </w:r>
                </w:p>
              </w:tc>
            </w:tr>
          </w:tbl>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vAlign w:val="center"/>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r>
      <w:tr w:rsidR="00C948F4" w:rsidRPr="00CB7530" w:rsidTr="00967DBB">
        <w:trPr>
          <w:trHeight w:val="556"/>
        </w:trPr>
        <w:tc>
          <w:tcPr>
            <w:tcW w:w="0" w:type="auto"/>
            <w:shd w:val="clear" w:color="auto" w:fill="FFFFFF"/>
            <w:vAlign w:val="center"/>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vAlign w:val="center"/>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r>
    </w:tbl>
    <w:p w:rsidR="00C948F4"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Pr>
          <w:rFonts w:ascii="Times New Roman" w:eastAsia="Times New Roman" w:hAnsi="Times New Roman" w:cs="Times New Roman"/>
          <w:color w:val="404040"/>
          <w:sz w:val="24"/>
          <w:szCs w:val="24"/>
          <w:lang w:eastAsia="it-IT"/>
        </w:rPr>
        <w:t>Cifre</w:t>
      </w:r>
      <w:r w:rsidRPr="00CB7530">
        <w:rPr>
          <w:rFonts w:ascii="Times New Roman" w:eastAsia="Times New Roman" w:hAnsi="Times New Roman" w:cs="Times New Roman"/>
          <w:color w:val="404040"/>
          <w:sz w:val="24"/>
          <w:szCs w:val="24"/>
          <w:lang w:eastAsia="it-IT"/>
        </w:rPr>
        <w:t>NextGenerationEU: cifre per paese dell'UE</w:t>
      </w: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Dispositivo per la ripresa e la resilienza: </w:t>
      </w:r>
      <w:hyperlink r:id="rId14" w:history="1">
        <w:r w:rsidRPr="00CB7530">
          <w:rPr>
            <w:rFonts w:ascii="Times New Roman" w:eastAsia="Times New Roman" w:hAnsi="Times New Roman" w:cs="Times New Roman"/>
            <w:color w:val="004494"/>
            <w:sz w:val="24"/>
            <w:szCs w:val="24"/>
            <w:u w:val="single"/>
            <w:lang w:eastAsia="it-IT"/>
          </w:rPr>
          <w:t>assegnazione delle sovvenzioni per Stato membro</w:t>
        </w:r>
      </w:hyperlink>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REACT-EU: </w:t>
      </w:r>
      <w:hyperlink r:id="rId15" w:history="1">
        <w:r w:rsidRPr="00CB7530">
          <w:rPr>
            <w:rFonts w:ascii="Times New Roman" w:eastAsia="Times New Roman" w:hAnsi="Times New Roman" w:cs="Times New Roman"/>
            <w:color w:val="004494"/>
            <w:sz w:val="24"/>
            <w:szCs w:val="24"/>
            <w:u w:val="single"/>
            <w:lang w:eastAsia="it-IT"/>
          </w:rPr>
          <w:t>stanziamenti 2021</w:t>
        </w:r>
      </w:hyperlink>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Fondo per una transizione giusta: </w:t>
      </w:r>
      <w:hyperlink r:id="rId16" w:history="1">
        <w:r w:rsidRPr="00CB7530">
          <w:rPr>
            <w:rFonts w:ascii="Times New Roman" w:eastAsia="Times New Roman" w:hAnsi="Times New Roman" w:cs="Times New Roman"/>
            <w:color w:val="004494"/>
            <w:sz w:val="24"/>
            <w:szCs w:val="24"/>
            <w:u w:val="single"/>
            <w:lang w:eastAsia="it-IT"/>
          </w:rPr>
          <w:t>stanziamenti per Stato membro</w:t>
        </w:r>
      </w:hyperlink>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Fondo europeo agricolo per lo sviluppo rurale: </w:t>
      </w:r>
      <w:hyperlink r:id="rId17" w:history="1">
        <w:r w:rsidRPr="00CB7530">
          <w:rPr>
            <w:rFonts w:ascii="Times New Roman" w:eastAsia="Times New Roman" w:hAnsi="Times New Roman" w:cs="Times New Roman"/>
            <w:color w:val="004494"/>
            <w:sz w:val="24"/>
            <w:szCs w:val="24"/>
            <w:u w:val="single"/>
            <w:lang w:eastAsia="it-IT"/>
          </w:rPr>
          <w:t>stanziamenti per Stato membro</w:t>
        </w:r>
      </w:hyperlink>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Cifre del QFP per paese dell'UE</w:t>
      </w:r>
    </w:p>
    <w:p w:rsidR="00C948F4" w:rsidRPr="00CB7530" w:rsidRDefault="0086067C" w:rsidP="00C948F4">
      <w:pPr>
        <w:pStyle w:val="Nessunaspaziatura"/>
        <w:jc w:val="both"/>
        <w:rPr>
          <w:rFonts w:ascii="Times New Roman" w:eastAsia="Times New Roman" w:hAnsi="Times New Roman" w:cs="Times New Roman"/>
          <w:color w:val="404040"/>
          <w:sz w:val="24"/>
          <w:szCs w:val="24"/>
          <w:lang w:eastAsia="it-IT"/>
        </w:rPr>
      </w:pPr>
      <w:hyperlink r:id="rId18" w:history="1">
        <w:r w:rsidR="00C948F4" w:rsidRPr="00CB7530">
          <w:rPr>
            <w:rFonts w:ascii="Times New Roman" w:eastAsia="Times New Roman" w:hAnsi="Times New Roman" w:cs="Times New Roman"/>
            <w:color w:val="004494"/>
            <w:sz w:val="24"/>
            <w:szCs w:val="24"/>
            <w:u w:val="single"/>
            <w:lang w:eastAsia="it-IT"/>
          </w:rPr>
          <w:t>QFP 2021-2027: ripartizione degli stanziamenti della politica di coesione per Stato membro (prezzi 2018)</w:t>
        </w:r>
      </w:hyperlink>
    </w:p>
    <w:p w:rsidR="00C948F4" w:rsidRPr="00CB7530" w:rsidRDefault="0086067C" w:rsidP="00C948F4">
      <w:pPr>
        <w:pStyle w:val="Nessunaspaziatura"/>
        <w:jc w:val="both"/>
        <w:rPr>
          <w:rFonts w:ascii="Times New Roman" w:eastAsia="Times New Roman" w:hAnsi="Times New Roman" w:cs="Times New Roman"/>
          <w:color w:val="404040"/>
          <w:sz w:val="24"/>
          <w:szCs w:val="24"/>
          <w:lang w:eastAsia="it-IT"/>
        </w:rPr>
      </w:pPr>
      <w:hyperlink r:id="rId19" w:history="1">
        <w:r w:rsidR="00C948F4" w:rsidRPr="00CB7530">
          <w:rPr>
            <w:rFonts w:ascii="Times New Roman" w:eastAsia="Times New Roman" w:hAnsi="Times New Roman" w:cs="Times New Roman"/>
            <w:color w:val="004494"/>
            <w:sz w:val="24"/>
            <w:szCs w:val="24"/>
            <w:u w:val="single"/>
            <w:lang w:eastAsia="it-IT"/>
          </w:rPr>
          <w:t>QFP 2021-2027: ripartizione degli stanziamenti della politica di coesione per Stato membro (prezzi correnti)</w:t>
        </w:r>
      </w:hyperlink>
    </w:p>
    <w:p w:rsidR="00C948F4" w:rsidRPr="00CB7530" w:rsidRDefault="0086067C" w:rsidP="00C948F4">
      <w:pPr>
        <w:pStyle w:val="Nessunaspaziatura"/>
        <w:jc w:val="both"/>
        <w:rPr>
          <w:rFonts w:ascii="Times New Roman" w:eastAsia="Times New Roman" w:hAnsi="Times New Roman" w:cs="Times New Roman"/>
          <w:color w:val="404040"/>
          <w:sz w:val="24"/>
          <w:szCs w:val="24"/>
          <w:lang w:eastAsia="it-IT"/>
        </w:rPr>
      </w:pPr>
      <w:hyperlink r:id="rId20" w:history="1">
        <w:r w:rsidR="00C948F4" w:rsidRPr="00CB7530">
          <w:rPr>
            <w:rFonts w:ascii="Times New Roman" w:eastAsia="Times New Roman" w:hAnsi="Times New Roman" w:cs="Times New Roman"/>
            <w:color w:val="004494"/>
            <w:sz w:val="24"/>
            <w:szCs w:val="24"/>
            <w:u w:val="single"/>
            <w:lang w:eastAsia="it-IT"/>
          </w:rPr>
          <w:t>QFP 2021-2027: ripartizione del Fondo europeo agricolo di garanzia per Stato membro (prezzi correnti)</w:t>
        </w:r>
      </w:hyperlink>
    </w:p>
    <w:p w:rsidR="00C948F4" w:rsidRPr="00CB7530" w:rsidRDefault="0086067C" w:rsidP="00C948F4">
      <w:pPr>
        <w:pStyle w:val="Nessunaspaziatura"/>
        <w:jc w:val="both"/>
        <w:rPr>
          <w:rFonts w:ascii="Times New Roman" w:eastAsia="Times New Roman" w:hAnsi="Times New Roman" w:cs="Times New Roman"/>
          <w:color w:val="404040"/>
          <w:sz w:val="24"/>
          <w:szCs w:val="24"/>
          <w:lang w:eastAsia="it-IT"/>
        </w:rPr>
      </w:pPr>
      <w:hyperlink r:id="rId21" w:history="1">
        <w:r w:rsidR="00C948F4" w:rsidRPr="00CB7530">
          <w:rPr>
            <w:rFonts w:ascii="Times New Roman" w:eastAsia="Times New Roman" w:hAnsi="Times New Roman" w:cs="Times New Roman"/>
            <w:color w:val="004494"/>
            <w:sz w:val="24"/>
            <w:szCs w:val="24"/>
            <w:u w:val="single"/>
            <w:lang w:eastAsia="it-IT"/>
          </w:rPr>
          <w:t>QFP 2021-2027: ripartizione del Fondo europeo agricolo per lo sviluppo rurale per Stato membro (solo QFP, prezzi correnti)</w:t>
        </w:r>
      </w:hyperlink>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Pr="00E8357E" w:rsidRDefault="00C948F4" w:rsidP="00C948F4">
      <w:pPr>
        <w:pStyle w:val="Nessunaspaziatura"/>
        <w:jc w:val="center"/>
        <w:rPr>
          <w:rFonts w:ascii="Times New Roman" w:eastAsia="Times New Roman" w:hAnsi="Times New Roman" w:cs="Times New Roman"/>
          <w:b/>
          <w:bCs/>
          <w:color w:val="404040"/>
          <w:sz w:val="24"/>
          <w:szCs w:val="24"/>
          <w:lang w:eastAsia="it-IT"/>
        </w:rPr>
      </w:pPr>
      <w:r w:rsidRPr="00E8357E">
        <w:rPr>
          <w:rFonts w:ascii="Times New Roman" w:eastAsia="Times New Roman" w:hAnsi="Times New Roman" w:cs="Times New Roman"/>
          <w:b/>
          <w:bCs/>
          <w:color w:val="404040"/>
          <w:sz w:val="24"/>
          <w:szCs w:val="24"/>
          <w:lang w:eastAsia="it-IT"/>
        </w:rPr>
        <w:t>I regolamenti relativi al nuovo bilancio UE</w:t>
      </w: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Il “pacchetto” di regolamenti che definisce il quadro dei fondi europei per il periodo 2021-2027 comprende i seguenti documenti fondamentali:</w:t>
      </w:r>
    </w:p>
    <w:p w:rsidR="00C948F4"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La </w:t>
      </w:r>
      <w:hyperlink r:id="rId22" w:tgtFrame="_blank" w:history="1">
        <w:r w:rsidRPr="00CB7530">
          <w:rPr>
            <w:rStyle w:val="Collegamentoipertestuale"/>
            <w:rFonts w:ascii="Times New Roman" w:eastAsia="Times New Roman" w:hAnsi="Times New Roman" w:cs="Times New Roman"/>
            <w:b/>
            <w:bCs/>
            <w:sz w:val="24"/>
            <w:szCs w:val="24"/>
            <w:lang w:eastAsia="it-IT"/>
          </w:rPr>
          <w:t>Decisione in merito alle risorse proprie</w:t>
        </w:r>
      </w:hyperlink>
      <w:r w:rsidRPr="00CB7530">
        <w:rPr>
          <w:rFonts w:ascii="Times New Roman" w:eastAsia="Times New Roman" w:hAnsi="Times New Roman" w:cs="Times New Roman"/>
          <w:color w:val="404040"/>
          <w:sz w:val="24"/>
          <w:szCs w:val="24"/>
          <w:lang w:eastAsia="it-IT"/>
        </w:rPr>
        <w:t xml:space="preserve"> – che definisce gli ammontari disponibili per l’intero periodo, quantificabili in </w:t>
      </w:r>
      <w:r w:rsidRPr="00E8357E">
        <w:rPr>
          <w:rFonts w:ascii="Times New Roman" w:eastAsia="Times New Roman" w:hAnsi="Times New Roman" w:cs="Times New Roman"/>
          <w:b/>
          <w:bCs/>
          <w:color w:val="404040"/>
          <w:sz w:val="24"/>
          <w:szCs w:val="24"/>
          <w:lang w:eastAsia="it-IT"/>
        </w:rPr>
        <w:t>1.085,3 miliardi di euro</w:t>
      </w:r>
      <w:r w:rsidRPr="00CB7530">
        <w:rPr>
          <w:rFonts w:ascii="Times New Roman" w:eastAsia="Times New Roman" w:hAnsi="Times New Roman" w:cs="Times New Roman"/>
          <w:color w:val="404040"/>
          <w:sz w:val="24"/>
          <w:szCs w:val="24"/>
          <w:lang w:eastAsia="it-IT"/>
        </w:rPr>
        <w:t xml:space="preserve"> (Quadro Finanziario Pluriennale) più 750 miliardi di euro (Next Generation EU). </w:t>
      </w:r>
    </w:p>
    <w:p w:rsidR="00C948F4" w:rsidRDefault="00C948F4" w:rsidP="00C948F4">
      <w:pPr>
        <w:pStyle w:val="Nessunaspaziatura"/>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 xml:space="preserve">Questa decisione include importanti novità: </w:t>
      </w:r>
    </w:p>
    <w:p w:rsidR="00C948F4" w:rsidRDefault="00C948F4" w:rsidP="00C948F4">
      <w:pPr>
        <w:pStyle w:val="Nessunaspaziatura"/>
        <w:numPr>
          <w:ilvl w:val="0"/>
          <w:numId w:val="7"/>
        </w:numPr>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 xml:space="preserve">la possibilità per la Commissione di contrarre prestiti fino a 750 miliardi di euro (nell’ambito di NGEU); </w:t>
      </w:r>
    </w:p>
    <w:p w:rsidR="00C948F4" w:rsidRDefault="00C948F4" w:rsidP="00C948F4">
      <w:pPr>
        <w:pStyle w:val="Nessunaspaziatura"/>
        <w:numPr>
          <w:ilvl w:val="0"/>
          <w:numId w:val="7"/>
        </w:numPr>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 xml:space="preserve">l’aumento del contributo degli stati membri all’UE dall’1,20% </w:t>
      </w:r>
      <w:r>
        <w:rPr>
          <w:rFonts w:ascii="Times New Roman" w:eastAsia="Times New Roman" w:hAnsi="Times New Roman" w:cs="Times New Roman"/>
          <w:color w:val="404040"/>
          <w:sz w:val="24"/>
          <w:szCs w:val="24"/>
          <w:lang w:eastAsia="it-IT"/>
        </w:rPr>
        <w:t xml:space="preserve"> </w:t>
      </w:r>
      <w:r w:rsidRPr="00CB7530">
        <w:rPr>
          <w:rFonts w:ascii="Times New Roman" w:eastAsia="Times New Roman" w:hAnsi="Times New Roman" w:cs="Times New Roman"/>
          <w:color w:val="404040"/>
          <w:sz w:val="24"/>
          <w:szCs w:val="24"/>
          <w:lang w:eastAsia="it-IT"/>
        </w:rPr>
        <w:t xml:space="preserve">all’1,40% del totale del reddito nazionale lordo </w:t>
      </w:r>
    </w:p>
    <w:p w:rsidR="00C948F4" w:rsidRPr="00CB7530" w:rsidRDefault="00C948F4" w:rsidP="00C948F4">
      <w:pPr>
        <w:pStyle w:val="Nessunaspaziatura"/>
        <w:numPr>
          <w:ilvl w:val="0"/>
          <w:numId w:val="7"/>
        </w:numPr>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lastRenderedPageBreak/>
        <w:t xml:space="preserve">aumentabile di un ulteriore 0,6% per far fronte al rimborso dei prestiti contratti per NGEU </w:t>
      </w:r>
    </w:p>
    <w:p w:rsidR="00C948F4" w:rsidRDefault="00C948F4" w:rsidP="00C948F4">
      <w:pPr>
        <w:pStyle w:val="Nessunaspaziatura"/>
        <w:numPr>
          <w:ilvl w:val="0"/>
          <w:numId w:val="7"/>
        </w:numPr>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l’introduzione di una nuova risorsa propria basata sugli imballaggi in plastica. </w:t>
      </w:r>
    </w:p>
    <w:p w:rsidR="00C948F4" w:rsidRDefault="00C948F4" w:rsidP="00C948F4">
      <w:pPr>
        <w:pStyle w:val="Nessunaspaziatura"/>
        <w:numPr>
          <w:ilvl w:val="0"/>
          <w:numId w:val="7"/>
        </w:numPr>
        <w:jc w:val="both"/>
        <w:rPr>
          <w:rFonts w:ascii="Times New Roman" w:eastAsia="Times New Roman" w:hAnsi="Times New Roman" w:cs="Times New Roman"/>
          <w:color w:val="404040"/>
          <w:sz w:val="24"/>
          <w:szCs w:val="24"/>
          <w:lang w:eastAsia="it-IT"/>
        </w:rPr>
      </w:pPr>
      <w:r>
        <w:rPr>
          <w:rFonts w:ascii="Times New Roman" w:eastAsia="Times New Roman" w:hAnsi="Times New Roman" w:cs="Times New Roman"/>
          <w:color w:val="404040"/>
          <w:sz w:val="24"/>
          <w:szCs w:val="24"/>
          <w:lang w:eastAsia="it-IT"/>
        </w:rPr>
        <w:t>Nuove risorse da concordare</w:t>
      </w:r>
    </w:p>
    <w:p w:rsidR="00C948F4"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Il </w:t>
      </w:r>
      <w:hyperlink r:id="rId23" w:tgtFrame="_blank" w:history="1">
        <w:r w:rsidRPr="00E31FA5">
          <w:rPr>
            <w:rStyle w:val="Collegamentoipertestuale"/>
            <w:rFonts w:ascii="Times New Roman" w:eastAsia="Times New Roman" w:hAnsi="Times New Roman" w:cs="Times New Roman"/>
            <w:b/>
            <w:bCs/>
            <w:color w:val="auto"/>
            <w:sz w:val="24"/>
            <w:szCs w:val="24"/>
            <w:lang w:eastAsia="it-IT"/>
          </w:rPr>
          <w:t>Regolamento relativo allo Strumento dell’UE per la ripresa</w:t>
        </w:r>
      </w:hyperlink>
      <w:r w:rsidRPr="00E31FA5">
        <w:rPr>
          <w:rFonts w:ascii="Times New Roman" w:eastAsia="Times New Roman" w:hAnsi="Times New Roman" w:cs="Times New Roman"/>
          <w:sz w:val="24"/>
          <w:szCs w:val="24"/>
          <w:lang w:eastAsia="it-IT"/>
        </w:rPr>
        <w:t xml:space="preserve"> – che definisce gli ammontari e le regole generali per il funzionamento e la gestione di Next Generation EU. </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La struttura generale è la seguente:</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384,4 miliardi di euro in aiuti a fondo perduto, di cui:</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47,5 a rafforzamento dei programmi strutturali e di coesione</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312,5 per la ripresa e la resilienza economica e sociale (sostegno a riforme e investimenti)</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1,9 per la protezione civile</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5 per la ricerca e l’innovazione</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10 per la transizione verso un’economia climaticamente neutra</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7,5 per lo sviluppo nelle zone rurali</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360 miliardi di euro in prestiti agli stati per la ripresa e la resilienza economica e sociale (sostegno a riforme e investimenti)</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5,6 miliardi di euro per accantonamenti e garanzie</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Con le decisioni del Consiglio e con la ferma opposizione di diversi Capi di Stato, tra i quali il nostro, sono state bocciate, con fermezza, le richieste dell’Olanda e degli altri Stati frugali, intergovernativi per loro natura, che miravano a mantenere il controllo degli interventi attuati dagli Stati, con i fondi del Recovery. Inoltre, </w:t>
      </w:r>
      <w:r w:rsidRPr="00E31FA5">
        <w:rPr>
          <w:rFonts w:ascii="Times New Roman" w:eastAsia="Times New Roman" w:hAnsi="Times New Roman" w:cs="Times New Roman"/>
          <w:b/>
          <w:bCs/>
          <w:sz w:val="24"/>
          <w:szCs w:val="24"/>
          <w:lang w:eastAsia="it-IT"/>
        </w:rPr>
        <w:t>per la prima volta, la Commissione potrà emettere bond</w:t>
      </w:r>
      <w:r w:rsidRPr="00E31FA5">
        <w:rPr>
          <w:rFonts w:ascii="Times New Roman" w:eastAsia="Times New Roman" w:hAnsi="Times New Roman" w:cs="Times New Roman"/>
          <w:sz w:val="24"/>
          <w:szCs w:val="24"/>
          <w:lang w:eastAsia="it-IT"/>
        </w:rPr>
        <w:t xml:space="preserve">, con il vantaggio della triplice A, attraverso i quali potrà finanziare, senza il controllo degli Stati, i flussi finanziari di raccolta e di spesa, necessari per la ripresa di tutta l’economia europea. Per coloro che amano l’affermarsi di un’Unione europea più solidale e, quindi più politica, che non si limiti a garantire solo gli aspetti, pur importanti, del Mercato unico, le decisioni prese a Bruxelles dal Consiglio europeo di luglio 2020, rappresentano una svolta molto importante, impensabile pochi mesi fa, prima del Covid-19. E di questo, coloro che credono in un’Europa di progresso e di pace non possono non rallegrarsi. Il pensiero, dopo la decisione del Consiglio, va a Altiero Spinelli e al suo desiderio, quando formulò le linee dell’Atto unico del 1986, di indirizzare la governance dell’Unione attraverso un ruolo diverso della Commissione, più autonomo rispetto agli Stati, in sintonia, però, con i cittadini dell’Unione, rappresentati nel Parlamento europeo. Processo continuamente ostacolato dal prevalente spirito intergovernativo e miope degli Stati membri. Vedasi, negli ultimi tempi, le posizioni nazionalistiche dei Paesi di Visegrad, che ostentatamente ignorano i valori fondanti dell’Unione, sanciti dai Trattati, e chiedono continuamente finanziamenti, per attuare obiettivi talvolta in contrasto con questi valori.. Al fine di fornire all’Unione i mezzi necessari per affrontare le sfide poste dal Pandemia di Covid-19, la Commissione è stata quindi autorizzata a prendere in prestito fondi sui mercati dei capitali e a trasferire il ricavato sui programmi decisi dall’Unione, secondo le linee approvate nel documento che contiene il NGEU. Il regolamento è accompagnato da una Dichiarazione comune, sottoscritta dal Consiglio, dal Parlamento e dalla Commissione, che assuma una notevole importanza, perché sancisce che le spese a copertura dei costi di finanziamento di Next Generation EU (i 750 miliardi di euro) non devono ridurre i programmi e i fondi dell’UE (decisi in 1 085 300 milioni di euro, per il periodo 2021/2027), quindi i tre Organi concordano sul fatto che, il trattamento degli interessi passivi e dei rimborsi di Next Generation EU nel Quadro Finanziario Pluriennale (QFP) 2021-2027, attualmente stimati a 12,9 miliardi di EUR per i sette anni, non pregiudica e non modifica il modo in cui la questione sarà affrontata nei futuri QFP a partire dal 2028. Le tre Istituzioni, inoltre, convengono di lavorare all’introduzione di nuove risorse proprie, sufficienti al fine di coprire un importo corrispondente alle spese previste, in relazione ai rimborsi e agli interessi passivi. Tali nuove risorse riguardano: </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a) Una tassa di 0,80 euro per ogni Kg di plastica non riciclata </w:t>
      </w:r>
    </w:p>
    <w:p w:rsidR="00C948F4" w:rsidRPr="00E31FA5" w:rsidRDefault="00C948F4" w:rsidP="00C948F4">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b) Un’estensione della tassa sulle emissioni di CO2 (probabilmente anche sugli immobili)</w:t>
      </w:r>
    </w:p>
    <w:tbl>
      <w:tblPr>
        <w:tblpPr w:leftFromText="45" w:rightFromText="45" w:vertAnchor="text"/>
        <w:tblW w:w="11749" w:type="dxa"/>
        <w:shd w:val="clear" w:color="auto" w:fill="FFFFFF"/>
        <w:tblCellMar>
          <w:top w:w="15" w:type="dxa"/>
          <w:left w:w="15" w:type="dxa"/>
          <w:bottom w:w="15" w:type="dxa"/>
          <w:right w:w="15" w:type="dxa"/>
        </w:tblCellMar>
        <w:tblLook w:val="04A0"/>
      </w:tblPr>
      <w:tblGrid>
        <w:gridCol w:w="11749"/>
      </w:tblGrid>
      <w:tr w:rsidR="00C948F4" w:rsidRPr="00E31FA5" w:rsidTr="00967DBB">
        <w:tc>
          <w:tcPr>
            <w:tcW w:w="0" w:type="auto"/>
            <w:shd w:val="clear" w:color="auto" w:fill="FFFFFF"/>
            <w:vAlign w:val="center"/>
            <w:hideMark/>
          </w:tcPr>
          <w:p w:rsidR="00C948F4" w:rsidRPr="00E31FA5" w:rsidRDefault="00C948F4" w:rsidP="00967DBB">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lastRenderedPageBreak/>
              <w:t>c) Un meccanismo di adeguamento delle emissioni di CO2 alle frontiere</w:t>
            </w:r>
          </w:p>
        </w:tc>
      </w:tr>
      <w:tr w:rsidR="00C948F4" w:rsidRPr="00E31FA5" w:rsidTr="00967DBB">
        <w:tc>
          <w:tcPr>
            <w:tcW w:w="0" w:type="auto"/>
            <w:shd w:val="clear" w:color="auto" w:fill="FFFFFF"/>
            <w:vAlign w:val="center"/>
            <w:hideMark/>
          </w:tcPr>
          <w:p w:rsidR="00C948F4" w:rsidRPr="00E31FA5" w:rsidRDefault="00C948F4" w:rsidP="00967DBB">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d) Un prelievo sul digitale</w:t>
            </w:r>
          </w:p>
        </w:tc>
      </w:tr>
      <w:tr w:rsidR="00C948F4" w:rsidRPr="00E31FA5" w:rsidTr="00967DBB">
        <w:tc>
          <w:tcPr>
            <w:tcW w:w="0" w:type="auto"/>
            <w:shd w:val="clear" w:color="auto" w:fill="FFFFFF"/>
            <w:vAlign w:val="center"/>
            <w:hideMark/>
          </w:tcPr>
          <w:p w:rsidR="00C948F4" w:rsidRPr="00E31FA5" w:rsidRDefault="00C948F4" w:rsidP="00967DBB">
            <w:pPr>
              <w:pStyle w:val="Nessunaspaziatura"/>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e) Un prelievo sul sistema di scambio delle quote di emissione dell'UE (ETS)</w:t>
            </w:r>
          </w:p>
        </w:tc>
      </w:tr>
    </w:tbl>
    <w:p w:rsidR="00C948F4" w:rsidRPr="00E31FA5" w:rsidRDefault="00C948F4" w:rsidP="00C948F4">
      <w:pPr>
        <w:pStyle w:val="Nessunaspaziatura"/>
        <w:jc w:val="both"/>
        <w:rPr>
          <w:rFonts w:ascii="Times New Roman" w:hAnsi="Times New Roman" w:cs="Times New Roman"/>
          <w:sz w:val="24"/>
          <w:szCs w:val="24"/>
          <w:lang w:eastAsia="it-IT"/>
        </w:rPr>
      </w:pPr>
    </w:p>
    <w:p w:rsidR="00C948F4" w:rsidRPr="00A57C9F" w:rsidRDefault="00C948F4" w:rsidP="00C948F4">
      <w:pPr>
        <w:pStyle w:val="Nessunaspaziatura"/>
        <w:jc w:val="both"/>
        <w:rPr>
          <w:rFonts w:ascii="Times New Roman" w:hAnsi="Times New Roman" w:cs="Times New Roman"/>
          <w:sz w:val="24"/>
          <w:szCs w:val="24"/>
          <w:lang w:eastAsia="it-IT"/>
        </w:rPr>
      </w:pPr>
      <w:r w:rsidRPr="00A57C9F">
        <w:rPr>
          <w:rFonts w:ascii="Times New Roman" w:hAnsi="Times New Roman" w:cs="Times New Roman"/>
          <w:sz w:val="24"/>
          <w:szCs w:val="24"/>
          <w:lang w:eastAsia="it-IT"/>
        </w:rPr>
        <w:t>Il </w:t>
      </w:r>
      <w:hyperlink r:id="rId24" w:history="1">
        <w:r w:rsidRPr="00A57C9F">
          <w:rPr>
            <w:rStyle w:val="Collegamentoipertestuale"/>
            <w:rFonts w:ascii="Times New Roman" w:eastAsia="Times New Roman" w:hAnsi="Times New Roman" w:cs="Times New Roman"/>
            <w:b/>
            <w:bCs/>
            <w:color w:val="auto"/>
            <w:sz w:val="24"/>
            <w:szCs w:val="24"/>
            <w:lang w:eastAsia="it-IT"/>
          </w:rPr>
          <w:t>Regolamento relativo al nuovo meccanismo di condizionalità di bilancio</w:t>
        </w:r>
      </w:hyperlink>
      <w:r w:rsidRPr="00A57C9F">
        <w:rPr>
          <w:rFonts w:ascii="Times New Roman" w:hAnsi="Times New Roman" w:cs="Times New Roman"/>
          <w:sz w:val="24"/>
          <w:szCs w:val="24"/>
          <w:lang w:eastAsia="it-IT"/>
        </w:rPr>
        <w:t> – che consente di proteggere il bilancio dell’UE da violazioni (in particolare, dei principi dello Stato di diritto) in grado di compromettere la gestione finanziaria e gli interessi finanziari dell’UE (il regolamento oggetto dell’iniziale veto di Ungheria e Polonia). In una risoluzione adottata dal Parlamento europeo i deputati ribadiscono che il mancato rispetto dello Stato di diritto da parte degli Stati membri può compromettere l'integrità del bilancio UE e chiedono l’applicazione senza indugi .</w:t>
      </w:r>
      <w:r w:rsidRPr="00A57C9F">
        <w:rPr>
          <w:rFonts w:ascii="Times New Roman" w:hAnsi="Times New Roman" w:cs="Times New Roman"/>
          <w:sz w:val="24"/>
          <w:szCs w:val="24"/>
          <w:shd w:val="clear" w:color="auto" w:fill="FFFFFF"/>
        </w:rPr>
        <w:t xml:space="preserve"> </w:t>
      </w:r>
      <w:r w:rsidRPr="00A57C9F">
        <w:rPr>
          <w:rFonts w:ascii="Times New Roman" w:hAnsi="Times New Roman" w:cs="Times New Roman"/>
          <w:b/>
          <w:bCs/>
          <w:sz w:val="24"/>
          <w:szCs w:val="24"/>
          <w:shd w:val="clear" w:color="auto" w:fill="FFFFFF"/>
        </w:rPr>
        <w:t>Il meccanismo di condizionalità</w:t>
      </w:r>
      <w:r w:rsidRPr="00A57C9F">
        <w:rPr>
          <w:rFonts w:ascii="Times New Roman" w:hAnsi="Times New Roman" w:cs="Times New Roman"/>
          <w:sz w:val="24"/>
          <w:szCs w:val="24"/>
          <w:shd w:val="clear" w:color="auto" w:fill="FFFFFF"/>
        </w:rPr>
        <w:t xml:space="preserve"> è un nuovo strumento progettato per proteggere i fondi UE dall'uso improprio da parte dei governi dell'Unione che non rispettano il principio dello Stato di diritto.</w:t>
      </w:r>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w:t>
      </w:r>
      <w:hyperlink r:id="rId25" w:history="1">
        <w:r w:rsidRPr="00A57C9F">
          <w:rPr>
            <w:rStyle w:val="Collegamentoipertestuale"/>
            <w:rFonts w:ascii="Times New Roman" w:eastAsia="Times New Roman" w:hAnsi="Times New Roman" w:cs="Times New Roman"/>
            <w:b/>
            <w:bCs/>
            <w:color w:val="auto"/>
            <w:sz w:val="24"/>
            <w:szCs w:val="24"/>
            <w:lang w:eastAsia="it-IT"/>
          </w:rPr>
          <w:t>Regolamento relativo al quadro finanziario pluriennale 2021-2027</w:t>
        </w:r>
      </w:hyperlink>
      <w:r w:rsidRPr="00A57C9F">
        <w:rPr>
          <w:rFonts w:ascii="Times New Roman" w:eastAsia="Times New Roman" w:hAnsi="Times New Roman" w:cs="Times New Roman"/>
          <w:sz w:val="24"/>
          <w:szCs w:val="24"/>
          <w:lang w:eastAsia="it-IT"/>
        </w:rPr>
        <w:t> – che definisce nello specifico la distribuzione dei fondi europei sulle principali linee di bilancio. La struttura generale è la seguente (alle singole linee di bilancio aggiungiamo un esempio di programmi finanziati, i dati sono in milioni di euro):</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Mercato unico, innovazione e agenda digitale – 136.781</w:t>
      </w:r>
    </w:p>
    <w:p w:rsidR="00C948F4" w:rsidRPr="00A57C9F" w:rsidRDefault="00C948F4" w:rsidP="00C948F4">
      <w:pPr>
        <w:pStyle w:val="Nessunaspaziatura"/>
        <w:ind w:left="720"/>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Orizzonte Europa, InvestEU, Connecting Europe, Europa Digitale, Mercato Unico</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Coesione, resilienza e valori – 383.768</w:t>
      </w:r>
    </w:p>
    <w:p w:rsidR="00C948F4" w:rsidRPr="00A57C9F" w:rsidRDefault="00C948F4" w:rsidP="00C948F4">
      <w:pPr>
        <w:pStyle w:val="Nessunaspaziatura"/>
        <w:ind w:firstLine="708"/>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2a. Coesione economica, sociale e territoriale – 330.235</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FESR, FSE+, Fondo di coesione, Strumento per le riforme, Strumento di convergenza</w:t>
      </w:r>
    </w:p>
    <w:p w:rsidR="00C948F4" w:rsidRPr="00A57C9F" w:rsidRDefault="00C948F4" w:rsidP="00C948F4">
      <w:pPr>
        <w:pStyle w:val="Nessunaspaziatura"/>
        <w:ind w:firstLine="708"/>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2b. Resilienza e valori – 53.533</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Erasmus+, Corpo europeo di solidarietà, Europa creativa, Diritti e valori, Giustizia</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Risorse naturali e ambiente – 356.374</w:t>
      </w:r>
    </w:p>
    <w:p w:rsidR="00C948F4" w:rsidRPr="00A57C9F" w:rsidRDefault="00C948F4" w:rsidP="00C948F4">
      <w:pPr>
        <w:pStyle w:val="Nessunaspaziatura"/>
        <w:ind w:left="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LIFE (Programma per l’ambiente e la biodiversità), FEASR (Fondo Europeo Agricolo Sviluppo Rurale), FEAMP (Fondo Europeo per la Politica Marittima e la Pesca)</w:t>
      </w:r>
    </w:p>
    <w:p w:rsidR="00C948F4" w:rsidRPr="00A57C9F" w:rsidRDefault="00C948F4" w:rsidP="00C948F4">
      <w:pPr>
        <w:pStyle w:val="Nessunaspaziatura"/>
        <w:ind w:firstLine="708"/>
        <w:jc w:val="both"/>
        <w:rPr>
          <w:rFonts w:ascii="Times New Roman" w:eastAsia="Times New Roman" w:hAnsi="Times New Roman" w:cs="Times New Roman"/>
          <w:i/>
          <w:iCs/>
          <w:sz w:val="24"/>
          <w:szCs w:val="24"/>
          <w:lang w:eastAsia="it-IT"/>
        </w:rPr>
      </w:pPr>
      <w:r w:rsidRPr="00A57C9F">
        <w:rPr>
          <w:rFonts w:ascii="Times New Roman" w:eastAsia="Times New Roman" w:hAnsi="Times New Roman" w:cs="Times New Roman"/>
          <w:i/>
          <w:iCs/>
          <w:sz w:val="24"/>
          <w:szCs w:val="24"/>
          <w:lang w:eastAsia="it-IT"/>
        </w:rPr>
        <w:t>di cui: spese connesse al mercato e pagamenti diretti    258.594</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FEAGA (</w:t>
      </w:r>
      <w:r w:rsidRPr="00A57C9F">
        <w:rPr>
          <w:rFonts w:ascii="Times New Roman" w:hAnsi="Times New Roman" w:cs="Times New Roman"/>
          <w:spacing w:val="3"/>
          <w:sz w:val="24"/>
          <w:szCs w:val="24"/>
        </w:rPr>
        <w:t>Fondo Europeo Agricolo di Garanzia)</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Migrazione e gestione delle frontiere - 23.671</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Fondo Asilo e Migrazione, Fondo per la gestione integrata delle frontiere</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Sicurezza e difesa - 13.185</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Fondo Sicurezza interna, Fondo europeo per la difesa, RescEU</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Vicinato e resto del mondo - 98.419</w:t>
      </w:r>
    </w:p>
    <w:p w:rsidR="00C948F4" w:rsidRPr="00A57C9F" w:rsidRDefault="00C948F4" w:rsidP="00C948F4">
      <w:pPr>
        <w:pStyle w:val="Nessunaspaziatura"/>
        <w:ind w:left="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Es.: Vicinato, sviluppo e cooperazione internazionale, Assistenza preadesione, Aiuti umanitari</w:t>
      </w:r>
    </w:p>
    <w:p w:rsidR="00C948F4" w:rsidRPr="00A57C9F" w:rsidRDefault="00C948F4" w:rsidP="00C948F4">
      <w:pPr>
        <w:pStyle w:val="Nessunaspaziatura"/>
        <w:numPr>
          <w:ilvl w:val="0"/>
          <w:numId w:val="1"/>
        </w:numPr>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Pubblica amministrazione europea - 73.102</w:t>
      </w:r>
    </w:p>
    <w:p w:rsidR="00C948F4" w:rsidRPr="00A57C9F" w:rsidRDefault="00C948F4" w:rsidP="00C948F4">
      <w:pPr>
        <w:pStyle w:val="Nessunaspaziatura"/>
        <w:ind w:firstLine="708"/>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i/>
          <w:iCs/>
          <w:sz w:val="24"/>
          <w:szCs w:val="24"/>
          <w:lang w:eastAsia="it-IT"/>
        </w:rPr>
        <w:t>di cui: spese amministrative delle istituzioni 55.852</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Totale  1.085.300 mln €</w:t>
      </w:r>
    </w:p>
    <w:p w:rsidR="00C948F4"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Riguardo al bilancio annuale per il 2021, vi è già un accordo di massima tra Parlamento e Consiglio, ma la Commissione è stata invitata a presentare una nuova proposta coerente con il Quadro Finanziario Pluriennale 2021-2027. Essa sarà rapidamente predisposta e sottoposta al Parlamento e al Consiglio per approvazione finale.</w:t>
      </w:r>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Pr="00A57C9F" w:rsidRDefault="00C948F4" w:rsidP="00C948F4">
      <w:pPr>
        <w:pStyle w:val="Nessunaspaziatura"/>
        <w:jc w:val="both"/>
        <w:rPr>
          <w:rFonts w:ascii="Times New Roman" w:eastAsia="Times New Roman" w:hAnsi="Times New Roman" w:cs="Times New Roman"/>
          <w:b/>
          <w:bCs/>
          <w:color w:val="C00000"/>
          <w:sz w:val="24"/>
          <w:szCs w:val="24"/>
          <w:lang w:eastAsia="it-IT"/>
        </w:rPr>
      </w:pPr>
      <w:r w:rsidRPr="00A57C9F">
        <w:rPr>
          <w:rFonts w:ascii="Times New Roman" w:eastAsia="Times New Roman" w:hAnsi="Times New Roman" w:cs="Times New Roman"/>
          <w:b/>
          <w:bCs/>
          <w:color w:val="C00000"/>
          <w:sz w:val="24"/>
          <w:szCs w:val="24"/>
          <w:lang w:eastAsia="it-IT"/>
        </w:rPr>
        <w:t>Novità su programmi europei.</w:t>
      </w:r>
    </w:p>
    <w:p w:rsidR="00C948F4" w:rsidRPr="00A57C9F" w:rsidRDefault="00C948F4" w:rsidP="00C948F4">
      <w:pPr>
        <w:pStyle w:val="Nessunaspaziatura"/>
        <w:jc w:val="both"/>
        <w:rPr>
          <w:rFonts w:ascii="Times New Roman" w:eastAsia="Times New Roman" w:hAnsi="Times New Roman" w:cs="Times New Roman"/>
          <w:color w:val="C00000"/>
          <w:sz w:val="24"/>
          <w:szCs w:val="24"/>
          <w:lang w:eastAsia="it-IT"/>
        </w:rPr>
      </w:pPr>
      <w:r w:rsidRPr="00A57C9F">
        <w:rPr>
          <w:rFonts w:ascii="Times New Roman" w:eastAsia="Times New Roman" w:hAnsi="Times New Roman" w:cs="Times New Roman"/>
          <w:color w:val="C00000"/>
          <w:sz w:val="24"/>
          <w:szCs w:val="24"/>
          <w:lang w:eastAsia="it-IT"/>
        </w:rPr>
        <w:t>Le ultime settimane e gli ultimi giorni sono stati l’occasione per trovare, oltre ad un consenso generale sul bilancio, anche un accordo politico su molti programmi europei. È attesa una ratifica dei relativi regolamenti in tempi brevi. Citiamo ad esempio:</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26" w:tgtFrame="_blank" w:history="1">
        <w:r w:rsidR="00C948F4" w:rsidRPr="00A57C9F">
          <w:rPr>
            <w:rStyle w:val="Collegamentoipertestuale"/>
            <w:rFonts w:ascii="Times New Roman" w:eastAsia="Times New Roman" w:hAnsi="Times New Roman" w:cs="Times New Roman"/>
            <w:color w:val="C00000"/>
            <w:sz w:val="24"/>
            <w:szCs w:val="24"/>
            <w:lang w:eastAsia="it-IT"/>
          </w:rPr>
          <w:t>Orizzonte Europa</w:t>
        </w:r>
      </w:hyperlink>
      <w:r w:rsidR="00C948F4" w:rsidRPr="00A57C9F">
        <w:rPr>
          <w:rFonts w:ascii="Times New Roman" w:eastAsia="Times New Roman" w:hAnsi="Times New Roman" w:cs="Times New Roman"/>
          <w:color w:val="C00000"/>
          <w:sz w:val="24"/>
          <w:szCs w:val="24"/>
          <w:lang w:eastAsia="it-IT"/>
        </w:rPr>
        <w:t> • 95.500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27" w:tgtFrame="_blank" w:history="1">
        <w:r w:rsidR="00C948F4" w:rsidRPr="00A57C9F">
          <w:rPr>
            <w:rStyle w:val="Collegamentoipertestuale"/>
            <w:rFonts w:ascii="Times New Roman" w:eastAsia="Times New Roman" w:hAnsi="Times New Roman" w:cs="Times New Roman"/>
            <w:color w:val="C00000"/>
            <w:sz w:val="24"/>
            <w:szCs w:val="24"/>
            <w:lang w:eastAsia="it-IT"/>
          </w:rPr>
          <w:t>InvestEU</w:t>
        </w:r>
      </w:hyperlink>
      <w:r w:rsidR="00C948F4" w:rsidRPr="00A57C9F">
        <w:rPr>
          <w:rFonts w:ascii="Times New Roman" w:eastAsia="Times New Roman" w:hAnsi="Times New Roman" w:cs="Times New Roman"/>
          <w:color w:val="C00000"/>
          <w:sz w:val="24"/>
          <w:szCs w:val="24"/>
          <w:lang w:eastAsia="it-IT"/>
        </w:rPr>
        <w:t> • 26.200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28" w:history="1">
        <w:r w:rsidR="00C948F4" w:rsidRPr="00A57C9F">
          <w:rPr>
            <w:rStyle w:val="Collegamentoipertestuale"/>
            <w:rFonts w:ascii="Times New Roman" w:eastAsia="Times New Roman" w:hAnsi="Times New Roman" w:cs="Times New Roman"/>
            <w:color w:val="C00000"/>
            <w:sz w:val="24"/>
            <w:szCs w:val="24"/>
            <w:lang w:eastAsia="it-IT"/>
          </w:rPr>
          <w:t>Europa Digitale</w:t>
        </w:r>
      </w:hyperlink>
      <w:r w:rsidR="00C948F4" w:rsidRPr="00A57C9F">
        <w:rPr>
          <w:rFonts w:ascii="Times New Roman" w:eastAsia="Times New Roman" w:hAnsi="Times New Roman" w:cs="Times New Roman"/>
          <w:color w:val="C00000"/>
          <w:sz w:val="24"/>
          <w:szCs w:val="24"/>
          <w:lang w:eastAsia="it-IT"/>
        </w:rPr>
        <w:t> • 7.500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29" w:tgtFrame="_blank" w:history="1">
        <w:r w:rsidR="00C948F4" w:rsidRPr="00A57C9F">
          <w:rPr>
            <w:rStyle w:val="Collegamentoipertestuale"/>
            <w:rFonts w:ascii="Times New Roman" w:eastAsia="Times New Roman" w:hAnsi="Times New Roman" w:cs="Times New Roman"/>
            <w:color w:val="C00000"/>
            <w:sz w:val="24"/>
            <w:szCs w:val="24"/>
            <w:lang w:eastAsia="it-IT"/>
          </w:rPr>
          <w:t>EU4Health</w:t>
        </w:r>
      </w:hyperlink>
      <w:r w:rsidR="00C948F4" w:rsidRPr="00A57C9F">
        <w:rPr>
          <w:rFonts w:ascii="Times New Roman" w:eastAsia="Times New Roman" w:hAnsi="Times New Roman" w:cs="Times New Roman"/>
          <w:color w:val="C00000"/>
          <w:sz w:val="24"/>
          <w:szCs w:val="24"/>
          <w:lang w:eastAsia="it-IT"/>
        </w:rPr>
        <w:t> • 5.100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0" w:tgtFrame="_blank" w:history="1">
        <w:r w:rsidR="00C948F4" w:rsidRPr="00A57C9F">
          <w:rPr>
            <w:rStyle w:val="Collegamentoipertestuale"/>
            <w:rFonts w:ascii="Times New Roman" w:eastAsia="Times New Roman" w:hAnsi="Times New Roman" w:cs="Times New Roman"/>
            <w:color w:val="C00000"/>
            <w:sz w:val="24"/>
            <w:szCs w:val="24"/>
            <w:lang w:eastAsia="it-IT"/>
          </w:rPr>
          <w:t>Europa Creativa</w:t>
        </w:r>
      </w:hyperlink>
      <w:r w:rsidR="00C948F4" w:rsidRPr="00A57C9F">
        <w:rPr>
          <w:rFonts w:ascii="Times New Roman" w:eastAsia="Times New Roman" w:hAnsi="Times New Roman" w:cs="Times New Roman"/>
          <w:color w:val="C00000"/>
          <w:sz w:val="24"/>
          <w:szCs w:val="24"/>
          <w:lang w:eastAsia="it-IT"/>
        </w:rPr>
        <w:t> • 3.000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1" w:tgtFrame="_blank" w:history="1">
        <w:r w:rsidR="00C948F4" w:rsidRPr="00A57C9F">
          <w:rPr>
            <w:rStyle w:val="Collegamentoipertestuale"/>
            <w:rFonts w:ascii="Times New Roman" w:eastAsia="Times New Roman" w:hAnsi="Times New Roman" w:cs="Times New Roman"/>
            <w:color w:val="C00000"/>
            <w:sz w:val="24"/>
            <w:szCs w:val="24"/>
            <w:lang w:eastAsia="it-IT"/>
          </w:rPr>
          <w:t>Erasmus+</w:t>
        </w:r>
      </w:hyperlink>
      <w:r w:rsidR="00C948F4" w:rsidRPr="00A57C9F">
        <w:rPr>
          <w:rFonts w:ascii="Times New Roman" w:eastAsia="Times New Roman" w:hAnsi="Times New Roman" w:cs="Times New Roman"/>
          <w:color w:val="C00000"/>
          <w:sz w:val="24"/>
          <w:szCs w:val="24"/>
          <w:lang w:eastAsia="it-IT"/>
        </w:rPr>
        <w:t> • 26.000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2" w:tgtFrame="_blank" w:history="1">
        <w:r w:rsidR="00C948F4" w:rsidRPr="00A57C9F">
          <w:rPr>
            <w:rStyle w:val="Collegamentoipertestuale"/>
            <w:rFonts w:ascii="Times New Roman" w:eastAsia="Times New Roman" w:hAnsi="Times New Roman" w:cs="Times New Roman"/>
            <w:color w:val="C00000"/>
            <w:sz w:val="24"/>
            <w:szCs w:val="24"/>
            <w:lang w:eastAsia="it-IT"/>
          </w:rPr>
          <w:t>Corpo Europeo di Solidarietà</w:t>
        </w:r>
      </w:hyperlink>
      <w:r w:rsidR="00C948F4" w:rsidRPr="00A57C9F">
        <w:rPr>
          <w:rFonts w:ascii="Times New Roman" w:eastAsia="Times New Roman" w:hAnsi="Times New Roman" w:cs="Times New Roman"/>
          <w:color w:val="C00000"/>
          <w:sz w:val="24"/>
          <w:szCs w:val="24"/>
          <w:lang w:eastAsia="it-IT"/>
        </w:rPr>
        <w:t> • 1.009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3" w:history="1">
        <w:r w:rsidR="00C948F4" w:rsidRPr="00A57C9F">
          <w:rPr>
            <w:rStyle w:val="Collegamentoipertestuale"/>
            <w:rFonts w:ascii="Times New Roman" w:eastAsia="Times New Roman" w:hAnsi="Times New Roman" w:cs="Times New Roman"/>
            <w:color w:val="C00000"/>
            <w:sz w:val="24"/>
            <w:szCs w:val="24"/>
            <w:lang w:eastAsia="it-IT"/>
          </w:rPr>
          <w:t>Fondo per una Transizione Giusta</w:t>
        </w:r>
      </w:hyperlink>
      <w:r w:rsidR="00C948F4" w:rsidRPr="00A57C9F">
        <w:rPr>
          <w:rFonts w:ascii="Times New Roman" w:eastAsia="Times New Roman" w:hAnsi="Times New Roman" w:cs="Times New Roman"/>
          <w:color w:val="C00000"/>
          <w:sz w:val="24"/>
          <w:szCs w:val="24"/>
          <w:lang w:eastAsia="it-IT"/>
        </w:rPr>
        <w:t> • 17.500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4" w:history="1">
        <w:r w:rsidR="00C948F4" w:rsidRPr="00A57C9F">
          <w:rPr>
            <w:rStyle w:val="Collegamentoipertestuale"/>
            <w:rFonts w:ascii="Times New Roman" w:eastAsia="Times New Roman" w:hAnsi="Times New Roman" w:cs="Times New Roman"/>
            <w:color w:val="C00000"/>
            <w:sz w:val="24"/>
            <w:szCs w:val="24"/>
            <w:lang w:eastAsia="it-IT"/>
          </w:rPr>
          <w:t>Programma Dogana</w:t>
        </w:r>
      </w:hyperlink>
      <w:r w:rsidR="00C948F4" w:rsidRPr="00A57C9F">
        <w:rPr>
          <w:rFonts w:ascii="Times New Roman" w:eastAsia="Times New Roman" w:hAnsi="Times New Roman" w:cs="Times New Roman"/>
          <w:color w:val="C00000"/>
          <w:sz w:val="24"/>
          <w:szCs w:val="24"/>
          <w:lang w:eastAsia="it-IT"/>
        </w:rPr>
        <w:t> • 950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5" w:history="1">
        <w:r w:rsidR="00C948F4" w:rsidRPr="00A57C9F">
          <w:rPr>
            <w:rStyle w:val="Collegamentoipertestuale"/>
            <w:rFonts w:ascii="Times New Roman" w:eastAsia="Times New Roman" w:hAnsi="Times New Roman" w:cs="Times New Roman"/>
            <w:color w:val="C00000"/>
            <w:sz w:val="24"/>
            <w:szCs w:val="24"/>
            <w:lang w:eastAsia="it-IT"/>
          </w:rPr>
          <w:t>Fondo Europeo per la Difesa</w:t>
        </w:r>
      </w:hyperlink>
      <w:r w:rsidR="00C948F4" w:rsidRPr="00A57C9F">
        <w:rPr>
          <w:rFonts w:ascii="Times New Roman" w:eastAsia="Times New Roman" w:hAnsi="Times New Roman" w:cs="Times New Roman"/>
          <w:color w:val="C00000"/>
          <w:sz w:val="24"/>
          <w:szCs w:val="24"/>
          <w:lang w:eastAsia="it-IT"/>
        </w:rPr>
        <w:t> • 7.953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6" w:history="1">
        <w:r w:rsidR="00C948F4" w:rsidRPr="00A57C9F">
          <w:rPr>
            <w:rStyle w:val="Collegamentoipertestuale"/>
            <w:rFonts w:ascii="Times New Roman" w:eastAsia="Times New Roman" w:hAnsi="Times New Roman" w:cs="Times New Roman"/>
            <w:color w:val="C00000"/>
            <w:sz w:val="24"/>
            <w:szCs w:val="24"/>
            <w:lang w:eastAsia="it-IT"/>
          </w:rPr>
          <w:t>FESR e Fondo di Coesione</w:t>
        </w:r>
      </w:hyperlink>
      <w:r w:rsidR="00C948F4" w:rsidRPr="00A57C9F">
        <w:rPr>
          <w:rFonts w:ascii="Times New Roman" w:eastAsia="Times New Roman" w:hAnsi="Times New Roman" w:cs="Times New Roman"/>
          <w:color w:val="C00000"/>
          <w:sz w:val="24"/>
          <w:szCs w:val="24"/>
          <w:lang w:eastAsia="it-IT"/>
        </w:rPr>
        <w:t> • 234.000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7" w:history="1">
        <w:r w:rsidR="00C948F4" w:rsidRPr="00A57C9F">
          <w:rPr>
            <w:rStyle w:val="Collegamentoipertestuale"/>
            <w:rFonts w:ascii="Times New Roman" w:eastAsia="Times New Roman" w:hAnsi="Times New Roman" w:cs="Times New Roman"/>
            <w:color w:val="C00000"/>
            <w:sz w:val="24"/>
            <w:szCs w:val="24"/>
            <w:lang w:eastAsia="it-IT"/>
          </w:rPr>
          <w:t>Cooperazione Territoriale (Interreg)</w:t>
        </w:r>
      </w:hyperlink>
      <w:r w:rsidR="00C948F4" w:rsidRPr="00A57C9F">
        <w:rPr>
          <w:rFonts w:ascii="Times New Roman" w:eastAsia="Times New Roman" w:hAnsi="Times New Roman" w:cs="Times New Roman"/>
          <w:color w:val="C00000"/>
          <w:sz w:val="24"/>
          <w:szCs w:val="24"/>
          <w:lang w:eastAsia="it-IT"/>
        </w:rPr>
        <w:t> • 8.050 mln €</w:t>
      </w:r>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8" w:history="1">
        <w:r w:rsidR="00C948F4" w:rsidRPr="00A57C9F">
          <w:rPr>
            <w:rStyle w:val="Collegamentoipertestuale"/>
            <w:rFonts w:ascii="Times New Roman" w:eastAsia="Times New Roman" w:hAnsi="Times New Roman" w:cs="Times New Roman"/>
            <w:color w:val="C00000"/>
            <w:sz w:val="24"/>
            <w:szCs w:val="24"/>
            <w:lang w:eastAsia="it-IT"/>
          </w:rPr>
          <w:t>Disposizioni su fondi comuni (Fondi Strutturali)</w:t>
        </w:r>
      </w:hyperlink>
    </w:p>
    <w:p w:rsidR="00C948F4" w:rsidRPr="00A57C9F" w:rsidRDefault="0086067C" w:rsidP="00C948F4">
      <w:pPr>
        <w:pStyle w:val="Nessunaspaziatura"/>
        <w:jc w:val="both"/>
        <w:rPr>
          <w:rFonts w:ascii="Times New Roman" w:eastAsia="Times New Roman" w:hAnsi="Times New Roman" w:cs="Times New Roman"/>
          <w:color w:val="C00000"/>
          <w:sz w:val="24"/>
          <w:szCs w:val="24"/>
          <w:lang w:eastAsia="it-IT"/>
        </w:rPr>
      </w:pPr>
      <w:hyperlink r:id="rId39" w:history="1">
        <w:r w:rsidR="00C948F4" w:rsidRPr="00A57C9F">
          <w:rPr>
            <w:rStyle w:val="Collegamentoipertestuale"/>
            <w:rFonts w:ascii="Times New Roman" w:eastAsia="Times New Roman" w:hAnsi="Times New Roman" w:cs="Times New Roman"/>
            <w:color w:val="C00000"/>
            <w:sz w:val="24"/>
            <w:szCs w:val="24"/>
            <w:lang w:eastAsia="it-IT"/>
          </w:rPr>
          <w:t>Disposizioni transitorie sulla politica agricola comune (FEASR)</w:t>
        </w:r>
      </w:hyperlink>
    </w:p>
    <w:p w:rsidR="00C948F4" w:rsidRPr="00CB7530" w:rsidRDefault="00C948F4" w:rsidP="00C948F4">
      <w:pPr>
        <w:pStyle w:val="Nessunaspaziatura"/>
        <w:jc w:val="both"/>
        <w:rPr>
          <w:rFonts w:ascii="Times New Roman" w:eastAsia="Times New Roman" w:hAnsi="Times New Roman" w:cs="Times New Roman"/>
          <w:color w:val="404040"/>
          <w:sz w:val="24"/>
          <w:szCs w:val="24"/>
          <w:lang w:eastAsia="it-IT"/>
        </w:rPr>
      </w:pPr>
    </w:p>
    <w:p w:rsidR="00C948F4" w:rsidRPr="00BC1EAA" w:rsidRDefault="00C948F4" w:rsidP="00C948F4">
      <w:pPr>
        <w:pStyle w:val="Nessunaspaziatura"/>
        <w:jc w:val="center"/>
        <w:rPr>
          <w:rFonts w:ascii="Times New Roman" w:eastAsia="Times New Roman" w:hAnsi="Times New Roman" w:cs="Times New Roman"/>
          <w:b/>
          <w:bCs/>
          <w:color w:val="404040"/>
          <w:sz w:val="28"/>
          <w:szCs w:val="28"/>
          <w:lang w:eastAsia="it-IT"/>
        </w:rPr>
      </w:pPr>
      <w:r w:rsidRPr="00BC1EAA">
        <w:rPr>
          <w:rFonts w:ascii="Times New Roman" w:eastAsia="Times New Roman" w:hAnsi="Times New Roman" w:cs="Times New Roman"/>
          <w:b/>
          <w:bCs/>
          <w:color w:val="404040"/>
          <w:sz w:val="28"/>
          <w:szCs w:val="28"/>
          <w:lang w:eastAsia="it-IT"/>
        </w:rPr>
        <w:t>Programma Diritti e Valori 2021-2027</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Budget</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€ 641.705.000</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Descrizione</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Il Programma Diritti e Valori (Programmazione dei fondi 2021-2027) è il risultato della fusione di due programmi del settennio 2014-2020:</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0" w:history="1">
        <w:r w:rsidR="00C948F4" w:rsidRPr="00A57C9F">
          <w:rPr>
            <w:rStyle w:val="Collegamentoipertestuale"/>
            <w:rFonts w:ascii="Times New Roman" w:eastAsia="Times New Roman" w:hAnsi="Times New Roman" w:cs="Times New Roman"/>
            <w:color w:val="auto"/>
            <w:sz w:val="24"/>
            <w:szCs w:val="24"/>
            <w:lang w:eastAsia="it-IT"/>
          </w:rPr>
          <w:t>Diritti, uguaglianza e cittadinanza</w:t>
        </w:r>
      </w:hyperlink>
      <w:r w:rsidR="00C948F4" w:rsidRPr="00A57C9F">
        <w:rPr>
          <w:rFonts w:ascii="Times New Roman" w:eastAsia="Times New Roman" w:hAnsi="Times New Roman" w:cs="Times New Roman"/>
          <w:sz w:val="24"/>
          <w:szCs w:val="24"/>
          <w:lang w:eastAsia="it-IT"/>
        </w:rPr>
        <w:t> (Rights, Equality and Citizenship - REC)</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1" w:history="1">
        <w:r w:rsidR="00C948F4" w:rsidRPr="00A57C9F">
          <w:rPr>
            <w:rStyle w:val="Collegamentoipertestuale"/>
            <w:rFonts w:ascii="Times New Roman" w:eastAsia="Times New Roman" w:hAnsi="Times New Roman" w:cs="Times New Roman"/>
            <w:color w:val="auto"/>
            <w:sz w:val="24"/>
            <w:szCs w:val="24"/>
            <w:lang w:eastAsia="it-IT"/>
          </w:rPr>
          <w:t>Europa per i cittadini</w:t>
        </w:r>
      </w:hyperlink>
      <w:r w:rsidR="00C948F4" w:rsidRPr="00A57C9F">
        <w:rPr>
          <w:rFonts w:ascii="Times New Roman" w:eastAsia="Times New Roman" w:hAnsi="Times New Roman" w:cs="Times New Roman"/>
          <w:sz w:val="24"/>
          <w:szCs w:val="24"/>
          <w:lang w:eastAsia="it-IT"/>
        </w:rPr>
        <w:t> (Europe for Citizens)</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All’interno del nuovo </w:t>
      </w:r>
      <w:hyperlink r:id="rId42" w:history="1">
        <w:r w:rsidRPr="00A57C9F">
          <w:rPr>
            <w:rStyle w:val="Collegamentoipertestuale"/>
            <w:rFonts w:ascii="Times New Roman" w:eastAsia="Times New Roman" w:hAnsi="Times New Roman" w:cs="Times New Roman"/>
            <w:b/>
            <w:bCs/>
            <w:color w:val="auto"/>
            <w:sz w:val="24"/>
            <w:szCs w:val="24"/>
            <w:lang w:eastAsia="it-IT"/>
          </w:rPr>
          <w:t>Quadro Finanziario Pluriennale 2021-2027</w:t>
        </w:r>
      </w:hyperlink>
      <w:r w:rsidRPr="00A57C9F">
        <w:rPr>
          <w:rFonts w:ascii="Times New Roman" w:eastAsia="Times New Roman" w:hAnsi="Times New Roman" w:cs="Times New Roman"/>
          <w:sz w:val="24"/>
          <w:szCs w:val="24"/>
          <w:lang w:eastAsia="it-IT"/>
        </w:rPr>
        <w:t>, Diritti e Valori si inserisce nella Rubrica 2 “Coesione, resilienza e valori” (le rubriche tematiche sono 7 in totale). Insieme al Programma Giustizia, il Programma Diritti e Valori farà parte del </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3" w:history="1">
        <w:r w:rsidR="00C948F4" w:rsidRPr="00A57C9F">
          <w:rPr>
            <w:rStyle w:val="Collegamentoipertestuale"/>
            <w:rFonts w:ascii="Times New Roman" w:eastAsia="Times New Roman" w:hAnsi="Times New Roman" w:cs="Times New Roman"/>
            <w:b/>
            <w:bCs/>
            <w:color w:val="auto"/>
            <w:sz w:val="24"/>
            <w:szCs w:val="24"/>
            <w:lang w:eastAsia="it-IT"/>
          </w:rPr>
          <w:t>Fondo per la giustizia, i diritti e i valori</w:t>
        </w:r>
      </w:hyperlink>
      <w:r w:rsidR="00C948F4" w:rsidRPr="00A57C9F">
        <w:rPr>
          <w:rFonts w:ascii="Times New Roman" w:eastAsia="Times New Roman" w:hAnsi="Times New Roman" w:cs="Times New Roman"/>
          <w:sz w:val="24"/>
          <w:szCs w:val="24"/>
          <w:lang w:eastAsia="it-IT"/>
        </w:rPr>
        <w:t>. </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Obiettivi</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Gli obiettivi del programma Diritti e valori sono strettamente collegati alla promozione dei diritti fondamentali e sono coerenti con la </w:t>
      </w:r>
      <w:hyperlink r:id="rId44" w:history="1">
        <w:r w:rsidRPr="00A57C9F">
          <w:rPr>
            <w:rStyle w:val="Collegamentoipertestuale"/>
            <w:rFonts w:ascii="Times New Roman" w:eastAsia="Times New Roman" w:hAnsi="Times New Roman" w:cs="Times New Roman"/>
            <w:color w:val="auto"/>
            <w:sz w:val="24"/>
            <w:szCs w:val="24"/>
            <w:lang w:eastAsia="it-IT"/>
          </w:rPr>
          <w:t>Carta dei diritti fondamentali dell'UE</w:t>
        </w:r>
      </w:hyperlink>
      <w:r w:rsidRPr="00A57C9F">
        <w:rPr>
          <w:rFonts w:ascii="Times New Roman" w:eastAsia="Times New Roman" w:hAnsi="Times New Roman" w:cs="Times New Roman"/>
          <w:sz w:val="24"/>
          <w:szCs w:val="24"/>
          <w:lang w:eastAsia="it-IT"/>
        </w:rPr>
        <w:t>.</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Obiettivo Generale</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Proteggere e promuovere i diritti e i valori sanciti nei trattati dell'UE e nella Carta dei diritti fondamentali dell'UE, al fine di promuovere società aperte, democratiche e inclusive e rendere i cittadini più autonomi, sviluppando ulteriormente lo spazio europeo di giustizia. Tale obiettivo generale sarà conseguito attraverso tre obiettivi specifici.</w:t>
      </w:r>
    </w:p>
    <w:p w:rsidR="00C948F4" w:rsidRPr="00A57C9F" w:rsidRDefault="00C948F4" w:rsidP="00C948F4">
      <w:pPr>
        <w:pStyle w:val="Nessunaspaziatura"/>
        <w:jc w:val="both"/>
        <w:rPr>
          <w:rFonts w:ascii="Times New Roman" w:eastAsia="Times New Roman" w:hAnsi="Times New Roman" w:cs="Times New Roman"/>
          <w:b/>
          <w:bCs/>
          <w:sz w:val="24"/>
          <w:szCs w:val="24"/>
          <w:lang w:eastAsia="it-IT"/>
        </w:rPr>
      </w:pPr>
      <w:r w:rsidRPr="00A57C9F">
        <w:rPr>
          <w:rFonts w:ascii="Times New Roman" w:eastAsia="Times New Roman" w:hAnsi="Times New Roman" w:cs="Times New Roman"/>
          <w:b/>
          <w:bCs/>
          <w:sz w:val="24"/>
          <w:szCs w:val="24"/>
          <w:lang w:eastAsia="it-IT"/>
        </w:rPr>
        <w:t>Obiettivi Specifici</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a) Promuovere l'uguaglianza e i diritti: sezione Uguaglianza e diritti</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5" w:history="1">
        <w:r w:rsidR="00C948F4" w:rsidRPr="00A57C9F">
          <w:rPr>
            <w:rStyle w:val="Collegamentoipertestuale"/>
            <w:rFonts w:ascii="Times New Roman" w:eastAsia="Times New Roman" w:hAnsi="Times New Roman" w:cs="Times New Roman"/>
            <w:i/>
            <w:iCs/>
            <w:color w:val="auto"/>
            <w:sz w:val="24"/>
            <w:szCs w:val="24"/>
            <w:lang w:eastAsia="it-IT"/>
          </w:rPr>
          <w:t>DG JUST</w:t>
        </w:r>
      </w:hyperlink>
      <w:r w:rsidR="00C948F4" w:rsidRPr="00A57C9F">
        <w:rPr>
          <w:rFonts w:ascii="Times New Roman" w:eastAsia="Times New Roman" w:hAnsi="Times New Roman" w:cs="Times New Roman"/>
          <w:sz w:val="24"/>
          <w:szCs w:val="24"/>
          <w:lang w:eastAsia="it-IT"/>
        </w:rPr>
        <w:t> (Direzione Generale Giustizia) e </w:t>
      </w:r>
      <w:hyperlink r:id="rId46" w:history="1">
        <w:r w:rsidR="00C948F4" w:rsidRPr="00A57C9F">
          <w:rPr>
            <w:rStyle w:val="Collegamentoipertestuale"/>
            <w:rFonts w:ascii="Times New Roman" w:eastAsia="Times New Roman" w:hAnsi="Times New Roman" w:cs="Times New Roman"/>
            <w:i/>
            <w:iCs/>
            <w:color w:val="auto"/>
            <w:sz w:val="24"/>
            <w:szCs w:val="24"/>
            <w:lang w:eastAsia="it-IT"/>
          </w:rPr>
          <w:t>DG EMPL</w:t>
        </w:r>
      </w:hyperlink>
      <w:r w:rsidR="00C948F4" w:rsidRPr="00A57C9F">
        <w:rPr>
          <w:rFonts w:ascii="Times New Roman" w:eastAsia="Times New Roman" w:hAnsi="Times New Roman" w:cs="Times New Roman"/>
          <w:sz w:val="24"/>
          <w:szCs w:val="24"/>
          <w:lang w:eastAsia="it-IT"/>
        </w:rPr>
        <w:t> (Direzione Generale Occupazione, affari sociali e inclusione)</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 b) Promuovere il coinvolgimento e la partecipazione dei cittadini nella vita democratica dell'Unione: sezione Coinvolgimento e partecipazione dei cittadini</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7" w:history="1">
        <w:r w:rsidR="00C948F4" w:rsidRPr="00A57C9F">
          <w:rPr>
            <w:rStyle w:val="Collegamentoipertestuale"/>
            <w:rFonts w:ascii="Times New Roman" w:eastAsia="Times New Roman" w:hAnsi="Times New Roman" w:cs="Times New Roman"/>
            <w:i/>
            <w:iCs/>
            <w:color w:val="auto"/>
            <w:sz w:val="24"/>
            <w:szCs w:val="24"/>
            <w:lang w:eastAsia="it-IT"/>
          </w:rPr>
          <w:t>DG HOME</w:t>
        </w:r>
      </w:hyperlink>
      <w:r w:rsidR="00C948F4" w:rsidRPr="00A57C9F">
        <w:rPr>
          <w:rFonts w:ascii="Times New Roman" w:eastAsia="Times New Roman" w:hAnsi="Times New Roman" w:cs="Times New Roman"/>
          <w:sz w:val="24"/>
          <w:szCs w:val="24"/>
          <w:lang w:eastAsia="it-IT"/>
        </w:rPr>
        <w:t> - Direzione Generale per la migrazione e gli affari interni</w:t>
      </w:r>
    </w:p>
    <w:p w:rsidR="00C948F4" w:rsidRPr="00A57C9F" w:rsidRDefault="00C948F4" w:rsidP="00C948F4">
      <w:pPr>
        <w:pStyle w:val="Nessunaspaziatura"/>
        <w:jc w:val="both"/>
        <w:rPr>
          <w:rFonts w:ascii="Times New Roman" w:eastAsia="Times New Roman" w:hAnsi="Times New Roman" w:cs="Times New Roman"/>
          <w:sz w:val="24"/>
          <w:szCs w:val="24"/>
          <w:lang w:eastAsia="it-IT"/>
        </w:rPr>
      </w:pPr>
      <w:r w:rsidRPr="00A57C9F">
        <w:rPr>
          <w:rFonts w:ascii="Times New Roman" w:eastAsia="Times New Roman" w:hAnsi="Times New Roman" w:cs="Times New Roman"/>
          <w:sz w:val="24"/>
          <w:szCs w:val="24"/>
          <w:lang w:eastAsia="it-IT"/>
        </w:rPr>
        <w:t>c) Contrastare la violenza: sezione Daphne</w:t>
      </w:r>
    </w:p>
    <w:p w:rsidR="00C948F4" w:rsidRPr="00A57C9F" w:rsidRDefault="0086067C" w:rsidP="00C948F4">
      <w:pPr>
        <w:pStyle w:val="Nessunaspaziatura"/>
        <w:jc w:val="both"/>
        <w:rPr>
          <w:rFonts w:ascii="Times New Roman" w:eastAsia="Times New Roman" w:hAnsi="Times New Roman" w:cs="Times New Roman"/>
          <w:sz w:val="24"/>
          <w:szCs w:val="24"/>
          <w:lang w:eastAsia="it-IT"/>
        </w:rPr>
      </w:pPr>
      <w:hyperlink r:id="rId48" w:history="1">
        <w:r w:rsidR="00C948F4" w:rsidRPr="00A57C9F">
          <w:rPr>
            <w:rStyle w:val="Collegamentoipertestuale"/>
            <w:rFonts w:ascii="Times New Roman" w:eastAsia="Times New Roman" w:hAnsi="Times New Roman" w:cs="Times New Roman"/>
            <w:i/>
            <w:iCs/>
            <w:color w:val="auto"/>
            <w:sz w:val="24"/>
            <w:szCs w:val="24"/>
            <w:lang w:eastAsia="it-IT"/>
          </w:rPr>
          <w:t>DG JUST</w:t>
        </w:r>
      </w:hyperlink>
      <w:r w:rsidR="00C948F4" w:rsidRPr="00A57C9F">
        <w:rPr>
          <w:rFonts w:ascii="Times New Roman" w:eastAsia="Times New Roman" w:hAnsi="Times New Roman" w:cs="Times New Roman"/>
          <w:sz w:val="24"/>
          <w:szCs w:val="24"/>
          <w:lang w:eastAsia="it-IT"/>
        </w:rPr>
        <w:t> e </w:t>
      </w:r>
      <w:hyperlink r:id="rId49" w:history="1">
        <w:r w:rsidR="00C948F4" w:rsidRPr="00A57C9F">
          <w:rPr>
            <w:rStyle w:val="Collegamentoipertestuale"/>
            <w:rFonts w:ascii="Times New Roman" w:eastAsia="Times New Roman" w:hAnsi="Times New Roman" w:cs="Times New Roman"/>
            <w:i/>
            <w:iCs/>
            <w:color w:val="auto"/>
            <w:sz w:val="24"/>
            <w:szCs w:val="24"/>
            <w:lang w:eastAsia="it-IT"/>
          </w:rPr>
          <w:t>DG EMPL</w:t>
        </w:r>
      </w:hyperlink>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Pr="00814684" w:rsidRDefault="00C948F4" w:rsidP="00C948F4">
      <w:pPr>
        <w:pStyle w:val="Nessunaspaziatura"/>
        <w:jc w:val="both"/>
        <w:rPr>
          <w:rFonts w:ascii="Times New Roman" w:eastAsia="Times New Roman" w:hAnsi="Times New Roman" w:cs="Times New Roman"/>
          <w:b/>
          <w:bCs/>
          <w:color w:val="404040"/>
          <w:sz w:val="24"/>
          <w:szCs w:val="24"/>
          <w:lang w:eastAsia="it-IT"/>
        </w:rPr>
      </w:pPr>
      <w:r w:rsidRPr="00814684">
        <w:rPr>
          <w:rFonts w:ascii="Times New Roman" w:eastAsia="Times New Roman" w:hAnsi="Times New Roman" w:cs="Times New Roman"/>
          <w:b/>
          <w:bCs/>
          <w:color w:val="404040"/>
          <w:sz w:val="24"/>
          <w:szCs w:val="24"/>
          <w:lang w:eastAsia="it-IT"/>
        </w:rPr>
        <w:t>Le sezioni del Programma</w:t>
      </w:r>
    </w:p>
    <w:p w:rsidR="00C948F4" w:rsidRPr="009C2F51" w:rsidRDefault="00C948F4" w:rsidP="00C948F4">
      <w:pPr>
        <w:pStyle w:val="Nessunaspaziatura"/>
        <w:jc w:val="both"/>
        <w:rPr>
          <w:rFonts w:ascii="Times New Roman" w:eastAsia="Times New Roman" w:hAnsi="Times New Roman" w:cs="Times New Roman"/>
          <w:b/>
          <w:bCs/>
          <w:i/>
          <w:iCs/>
          <w:sz w:val="24"/>
          <w:szCs w:val="24"/>
          <w:lang w:eastAsia="it-IT"/>
        </w:rPr>
      </w:pPr>
      <w:r w:rsidRPr="009C2F51">
        <w:rPr>
          <w:rFonts w:ascii="Times New Roman" w:eastAsia="Times New Roman" w:hAnsi="Times New Roman" w:cs="Times New Roman"/>
          <w:b/>
          <w:bCs/>
          <w:i/>
          <w:iCs/>
          <w:sz w:val="24"/>
          <w:szCs w:val="24"/>
          <w:lang w:eastAsia="it-IT"/>
        </w:rPr>
        <w:t>a) Sezione Uguaglianza e diritti</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Nell'ambito dell’obiettivo specifico “promuovere l'uguaglianza e i diritti”, il programma mira a:</w:t>
      </w:r>
    </w:p>
    <w:p w:rsidR="00C948F4" w:rsidRPr="009C2F51" w:rsidRDefault="00C948F4" w:rsidP="00C948F4">
      <w:pPr>
        <w:pStyle w:val="Nessunaspaziatura"/>
        <w:numPr>
          <w:ilvl w:val="0"/>
          <w:numId w:val="8"/>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 xml:space="preserve">prevenire e contrastare le disuguaglianze e la discriminazione fondate sul sesso, la razza o l'origine etnica, la religione o le convinzioni personali, la disabilità, l'età o l'orientamento sessuale, </w:t>
      </w:r>
    </w:p>
    <w:p w:rsidR="00C948F4" w:rsidRPr="009C2F51" w:rsidRDefault="00C948F4" w:rsidP="00C948F4">
      <w:pPr>
        <w:pStyle w:val="Nessunaspaziatura"/>
        <w:numPr>
          <w:ilvl w:val="0"/>
          <w:numId w:val="8"/>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lastRenderedPageBreak/>
        <w:t>sostenere le politiche globali finalizzate a promuovere la parità di genere e la non discriminazione e la loro integrazione, nonché le politiche di lotta contro il razzismo e ogni forma di intolleranza;</w:t>
      </w:r>
    </w:p>
    <w:p w:rsidR="00C948F4" w:rsidRPr="00CB7530" w:rsidRDefault="00C948F4" w:rsidP="00C948F4">
      <w:pPr>
        <w:pStyle w:val="Nessunaspaziatura"/>
        <w:numPr>
          <w:ilvl w:val="0"/>
          <w:numId w:val="8"/>
        </w:numPr>
        <w:jc w:val="both"/>
        <w:rPr>
          <w:rFonts w:ascii="Times New Roman" w:eastAsia="Times New Roman" w:hAnsi="Times New Roman" w:cs="Times New Roman"/>
          <w:color w:val="404040"/>
          <w:sz w:val="24"/>
          <w:szCs w:val="24"/>
          <w:lang w:eastAsia="it-IT"/>
        </w:rPr>
      </w:pPr>
      <w:r w:rsidRPr="009C2F51">
        <w:rPr>
          <w:rFonts w:ascii="Times New Roman" w:eastAsia="Times New Roman" w:hAnsi="Times New Roman" w:cs="Times New Roman"/>
          <w:sz w:val="24"/>
          <w:szCs w:val="24"/>
          <w:lang w:eastAsia="it-IT"/>
        </w:rPr>
        <w:t>tutelare e promuovere i diritti dei minori e delle persone con disabilità, i diritti di cittadinanza dell'Unione e il diritto alla protezione dei dati personali</w:t>
      </w:r>
      <w:r w:rsidRPr="00CB7530">
        <w:rPr>
          <w:rFonts w:ascii="Times New Roman" w:eastAsia="Times New Roman" w:hAnsi="Times New Roman" w:cs="Times New Roman"/>
          <w:color w:val="404040"/>
          <w:sz w:val="24"/>
          <w:szCs w:val="24"/>
          <w:lang w:eastAsia="it-IT"/>
        </w:rPr>
        <w:t>.</w:t>
      </w:r>
    </w:p>
    <w:p w:rsidR="00C948F4" w:rsidRPr="00AC6E5B" w:rsidRDefault="00C948F4" w:rsidP="00C948F4">
      <w:pPr>
        <w:pStyle w:val="Nessunaspaziatura"/>
        <w:jc w:val="both"/>
        <w:rPr>
          <w:rFonts w:ascii="Times New Roman" w:eastAsia="Times New Roman" w:hAnsi="Times New Roman" w:cs="Times New Roman"/>
          <w:b/>
          <w:bCs/>
          <w:i/>
          <w:iCs/>
          <w:color w:val="404040"/>
          <w:sz w:val="24"/>
          <w:szCs w:val="24"/>
          <w:lang w:eastAsia="it-IT"/>
        </w:rPr>
      </w:pPr>
      <w:r w:rsidRPr="00AC6E5B">
        <w:rPr>
          <w:rFonts w:ascii="Times New Roman" w:eastAsia="Times New Roman" w:hAnsi="Times New Roman" w:cs="Times New Roman"/>
          <w:b/>
          <w:bCs/>
          <w:i/>
          <w:iCs/>
          <w:color w:val="404040"/>
          <w:sz w:val="24"/>
          <w:szCs w:val="24"/>
          <w:lang w:eastAsia="it-IT"/>
        </w:rPr>
        <w:t>b) Sezione Coinvolgimento e partecipazione dei cittadini</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Nell'ambito dell'obiettivo specifico “promuovere il coinvolgimento e la partecipazione dei cittadini”, il programma mira a:</w:t>
      </w:r>
    </w:p>
    <w:p w:rsidR="00C948F4" w:rsidRPr="009C2F51" w:rsidRDefault="00C948F4" w:rsidP="00C948F4">
      <w:pPr>
        <w:pStyle w:val="Nessunaspaziatura"/>
        <w:numPr>
          <w:ilvl w:val="0"/>
          <w:numId w:val="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accrescere la comprensione, da parte dei cittadini, dell'Unione, della sua storia, del suo patrimonio culturale e della sua diversità;</w:t>
      </w:r>
    </w:p>
    <w:p w:rsidR="00C948F4" w:rsidRPr="009C2F51" w:rsidRDefault="00C948F4" w:rsidP="00C948F4">
      <w:pPr>
        <w:pStyle w:val="Nessunaspaziatura"/>
        <w:numPr>
          <w:ilvl w:val="0"/>
          <w:numId w:val="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promuovere l'interazione e la cooperazione tra cittadini di paesi diversi; promuovere la partecipazione civica e democratica dei cittadini, consentendo ai cittadini e alle associazioni rappresentative di far conoscere e di scambiare pubblicamente le loro opinioni in tutti i settori di azione dell'Unione.</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 xml:space="preserve">La quota della dotazione finanziaria dedicata a questa sezione del programma è </w:t>
      </w:r>
      <w:r w:rsidRPr="009C2F51">
        <w:rPr>
          <w:rFonts w:ascii="Times New Roman" w:eastAsia="Times New Roman" w:hAnsi="Times New Roman" w:cs="Times New Roman"/>
          <w:b/>
          <w:bCs/>
          <w:sz w:val="24"/>
          <w:szCs w:val="24"/>
          <w:lang w:eastAsia="it-IT"/>
        </w:rPr>
        <w:t>di 233.000.000 euro</w:t>
      </w:r>
      <w:r w:rsidRPr="009C2F51">
        <w:rPr>
          <w:rFonts w:ascii="Times New Roman" w:eastAsia="Times New Roman" w:hAnsi="Times New Roman" w:cs="Times New Roman"/>
          <w:sz w:val="24"/>
          <w:szCs w:val="24"/>
          <w:lang w:eastAsia="it-IT"/>
        </w:rPr>
        <w:t>; la quota restante va suddivisa tra le altre sezioni.</w:t>
      </w:r>
    </w:p>
    <w:p w:rsidR="00C948F4" w:rsidRPr="009C2F51" w:rsidRDefault="00C948F4" w:rsidP="00C948F4">
      <w:pPr>
        <w:pStyle w:val="Nessunaspaziatura"/>
        <w:jc w:val="both"/>
        <w:rPr>
          <w:rFonts w:ascii="Times New Roman" w:eastAsia="Times New Roman" w:hAnsi="Times New Roman" w:cs="Times New Roman"/>
          <w:b/>
          <w:bCs/>
          <w:i/>
          <w:iCs/>
          <w:sz w:val="24"/>
          <w:szCs w:val="24"/>
          <w:lang w:eastAsia="it-IT"/>
        </w:rPr>
      </w:pPr>
      <w:r w:rsidRPr="009C2F51">
        <w:rPr>
          <w:rFonts w:ascii="Times New Roman" w:eastAsia="Times New Roman" w:hAnsi="Times New Roman" w:cs="Times New Roman"/>
          <w:b/>
          <w:bCs/>
          <w:i/>
          <w:iCs/>
          <w:sz w:val="24"/>
          <w:szCs w:val="24"/>
          <w:lang w:eastAsia="it-IT"/>
        </w:rPr>
        <w:t>c) Sezione Daphne</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Nell'ambito dell'obiettivo specifico “contrastare la violenza”, il programma mira a:</w:t>
      </w:r>
    </w:p>
    <w:p w:rsidR="00C948F4" w:rsidRPr="009C2F51" w:rsidRDefault="00C948F4" w:rsidP="00C948F4">
      <w:pPr>
        <w:pStyle w:val="Nessunaspaziatura"/>
        <w:numPr>
          <w:ilvl w:val="0"/>
          <w:numId w:val="9"/>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prevenire e contrastare ogni forma di violenza contro minori, giovani, donne e altri gruppi a rischio;</w:t>
      </w:r>
    </w:p>
    <w:p w:rsidR="00C948F4" w:rsidRPr="009C2F51" w:rsidRDefault="00C948F4" w:rsidP="00C948F4">
      <w:pPr>
        <w:pStyle w:val="Nessunaspaziatura"/>
        <w:numPr>
          <w:ilvl w:val="0"/>
          <w:numId w:val="9"/>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sostenere e tutelare le vittime di tale violenza</w:t>
      </w:r>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Default="00C948F4" w:rsidP="00C948F4">
      <w:pPr>
        <w:pStyle w:val="Nessunaspaziatura"/>
        <w:numPr>
          <w:ilvl w:val="0"/>
          <w:numId w:val="4"/>
        </w:numPr>
        <w:jc w:val="both"/>
        <w:rPr>
          <w:rFonts w:ascii="Times New Roman" w:eastAsia="Times New Roman" w:hAnsi="Times New Roman" w:cs="Times New Roman"/>
          <w:color w:val="404040"/>
          <w:sz w:val="24"/>
          <w:szCs w:val="24"/>
          <w:lang w:eastAsia="it-IT"/>
        </w:rPr>
      </w:pPr>
      <w:r w:rsidRPr="00CB7530">
        <w:rPr>
          <w:rFonts w:ascii="Times New Roman" w:eastAsia="Times New Roman" w:hAnsi="Times New Roman" w:cs="Times New Roman"/>
          <w:color w:val="404040"/>
          <w:sz w:val="24"/>
          <w:szCs w:val="24"/>
          <w:lang w:eastAsia="it-IT"/>
        </w:rPr>
        <w:t xml:space="preserve">e delle politiche dell'UE. </w:t>
      </w:r>
    </w:p>
    <w:p w:rsidR="009C2F51" w:rsidRPr="009C2F51" w:rsidRDefault="00C948F4" w:rsidP="009C2F51">
      <w:pPr>
        <w:pStyle w:val="Nessunaspaziatura"/>
        <w:jc w:val="both"/>
        <w:rPr>
          <w:rFonts w:ascii="Times New Roman" w:eastAsia="Times New Roman" w:hAnsi="Times New Roman" w:cs="Times New Roman"/>
          <w:b/>
          <w:bCs/>
          <w:sz w:val="24"/>
          <w:szCs w:val="24"/>
          <w:lang w:eastAsia="it-IT"/>
        </w:rPr>
      </w:pPr>
      <w:r w:rsidRPr="00CB7530">
        <w:rPr>
          <w:rFonts w:ascii="Times New Roman" w:eastAsia="Times New Roman" w:hAnsi="Times New Roman" w:cs="Times New Roman"/>
          <w:color w:val="404040"/>
          <w:sz w:val="24"/>
          <w:szCs w:val="24"/>
          <w:lang w:eastAsia="it-IT"/>
        </w:rPr>
        <w:t xml:space="preserve">Queste attività sono utili anche a fornire al legislatore informazioni chiare e dettagliate sui problemi e sulla situazione sul campo. </w:t>
      </w:r>
      <w:r w:rsidR="009C2F51" w:rsidRPr="009C2F51">
        <w:rPr>
          <w:rFonts w:ascii="Times New Roman" w:eastAsia="Times New Roman" w:hAnsi="Times New Roman" w:cs="Times New Roman"/>
          <w:b/>
          <w:bCs/>
          <w:sz w:val="24"/>
          <w:szCs w:val="24"/>
          <w:lang w:eastAsia="it-IT"/>
        </w:rPr>
        <w:t>Compatibilità ed eventuale sinergia con altri strumenti pertinenti</w:t>
      </w:r>
    </w:p>
    <w:p w:rsidR="009C2F51" w:rsidRPr="009C2F51" w:rsidRDefault="009C2F51" w:rsidP="009C2F51">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Il programma perseguirà sinergie, coerenza e complementarità con altri strumenti dell'Unione tra cui:</w:t>
      </w:r>
    </w:p>
    <w:p w:rsidR="009C2F51" w:rsidRPr="009C2F51" w:rsidRDefault="009C2F51" w:rsidP="009C2F51">
      <w:pPr>
        <w:pStyle w:val="Nessunaspaziatura"/>
        <w:numPr>
          <w:ilvl w:val="0"/>
          <w:numId w:val="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il Programma per il mercato unico, poiché offre un sostegno volto a dare più autonomia ai consumatori e a rafforzare il lavoro delle autorità incaricate dell'applicazione della legge nel settore dei consumi</w:t>
      </w:r>
    </w:p>
    <w:p w:rsidR="009C2F51" w:rsidRPr="009C2F51" w:rsidRDefault="009C2F51" w:rsidP="009C2F51">
      <w:pPr>
        <w:pStyle w:val="Nessunaspaziatura"/>
        <w:numPr>
          <w:ilvl w:val="0"/>
          <w:numId w:val="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 xml:space="preserve">il Fondo sociale europeo Plus, che ha un impatto forte e diretto sulle persone, comprese quelle più svantaggiate e discriminate, ed è importante per la promozione della parità di genere e delle pari opportunità, dei valori dell'UE e del rispetto dei diritti fondamentali. </w:t>
      </w:r>
    </w:p>
    <w:p w:rsidR="009C2F51" w:rsidRPr="009C2F51" w:rsidRDefault="009C2F51" w:rsidP="009C2F51">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La promozione di valori e diritti all'interno dell'UE si riflette nella loro promozione a livello globale, anche attraverso i collegamenti con l'attuazione degli obiettivi di sviluppo sostenibile.</w:t>
      </w:r>
    </w:p>
    <w:p w:rsidR="009C2F51" w:rsidRPr="009C2F51" w:rsidRDefault="009C2F51" w:rsidP="009C2F51">
      <w:pPr>
        <w:pStyle w:val="Nessunaspaziatura"/>
        <w:jc w:val="both"/>
        <w:rPr>
          <w:rFonts w:ascii="Times New Roman" w:eastAsia="Times New Roman" w:hAnsi="Times New Roman" w:cs="Times New Roman"/>
          <w:b/>
          <w:bCs/>
          <w:sz w:val="24"/>
          <w:szCs w:val="24"/>
          <w:lang w:eastAsia="it-IT"/>
        </w:rPr>
      </w:pPr>
    </w:p>
    <w:p w:rsidR="009C2F51" w:rsidRPr="009C2F51" w:rsidRDefault="009C2F51" w:rsidP="009C2F51">
      <w:pPr>
        <w:pStyle w:val="Nessunaspaziatura"/>
        <w:jc w:val="both"/>
        <w:rPr>
          <w:rFonts w:ascii="Times New Roman" w:eastAsia="Times New Roman" w:hAnsi="Times New Roman" w:cs="Times New Roman"/>
          <w:b/>
          <w:bCs/>
          <w:sz w:val="24"/>
          <w:szCs w:val="24"/>
          <w:lang w:eastAsia="it-IT"/>
        </w:rPr>
      </w:pPr>
      <w:r w:rsidRPr="009C2F51">
        <w:rPr>
          <w:rFonts w:ascii="Times New Roman" w:eastAsia="Times New Roman" w:hAnsi="Times New Roman" w:cs="Times New Roman"/>
          <w:b/>
          <w:bCs/>
          <w:sz w:val="24"/>
          <w:szCs w:val="24"/>
          <w:lang w:eastAsia="it-IT"/>
        </w:rPr>
        <w:t>Indicatori di valutazione del Programma Diritti e Valori</w:t>
      </w:r>
    </w:p>
    <w:p w:rsidR="009C2F51" w:rsidRPr="009C2F51" w:rsidRDefault="009C2F51" w:rsidP="009C2F51">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Il Programma sarà sottoposto a monitoraggio sulla base di un insieme di indicatori destinati a valutare la misura in cui l'obiettivo generale e gli obiettivi specifici del programma sono stati conseguiti e al fine di ridurre al minimo gli oneri e i costi amministrativi. A tale scopo, verranno raccolti dati relativi agli indicatori fondamentali di seguito elencati.</w:t>
      </w:r>
    </w:p>
    <w:p w:rsidR="009C2F51" w:rsidRPr="009C2F51" w:rsidRDefault="009C2F51" w:rsidP="009C2F51">
      <w:pPr>
        <w:pStyle w:val="Nessunaspaziatura"/>
        <w:jc w:val="both"/>
        <w:rPr>
          <w:rFonts w:ascii="Times New Roman" w:eastAsia="Times New Roman" w:hAnsi="Times New Roman" w:cs="Times New Roman"/>
          <w:b/>
          <w:bCs/>
          <w:sz w:val="24"/>
          <w:szCs w:val="24"/>
          <w:lang w:eastAsia="it-IT"/>
        </w:rPr>
      </w:pPr>
    </w:p>
    <w:p w:rsidR="009C2F51" w:rsidRPr="009C2F51" w:rsidRDefault="009C2F51" w:rsidP="009C2F51">
      <w:pPr>
        <w:pStyle w:val="Nessunaspaziatura"/>
        <w:jc w:val="both"/>
        <w:rPr>
          <w:rFonts w:ascii="Times New Roman" w:eastAsia="Times New Roman" w:hAnsi="Times New Roman" w:cs="Times New Roman"/>
          <w:b/>
          <w:bCs/>
          <w:sz w:val="24"/>
          <w:szCs w:val="24"/>
          <w:lang w:eastAsia="it-IT"/>
        </w:rPr>
      </w:pPr>
      <w:r w:rsidRPr="009C2F51">
        <w:rPr>
          <w:rFonts w:ascii="Times New Roman" w:eastAsia="Times New Roman" w:hAnsi="Times New Roman" w:cs="Times New Roman"/>
          <w:b/>
          <w:bCs/>
          <w:sz w:val="24"/>
          <w:szCs w:val="24"/>
          <w:lang w:eastAsia="it-IT"/>
        </w:rPr>
        <w:t>Numero di persone raggiunte da:</w:t>
      </w:r>
    </w:p>
    <w:p w:rsidR="009C2F51" w:rsidRPr="009C2F51" w:rsidRDefault="009C2F51" w:rsidP="009C2F51">
      <w:pPr>
        <w:pStyle w:val="Nessunaspaziatura"/>
        <w:numPr>
          <w:ilvl w:val="0"/>
          <w:numId w:val="10"/>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attività di formazione</w:t>
      </w:r>
    </w:p>
    <w:p w:rsidR="009C2F51" w:rsidRPr="009C2F51" w:rsidRDefault="009C2F51" w:rsidP="009C2F51">
      <w:pPr>
        <w:pStyle w:val="Nessunaspaziatura"/>
        <w:numPr>
          <w:ilvl w:val="0"/>
          <w:numId w:val="10"/>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attività di apprendimento reciproco e scambio di buone pratiche</w:t>
      </w:r>
    </w:p>
    <w:p w:rsidR="009C2F51" w:rsidRPr="009C2F51" w:rsidRDefault="009C2F51" w:rsidP="009C2F51">
      <w:pPr>
        <w:pStyle w:val="Nessunaspaziatura"/>
        <w:numPr>
          <w:ilvl w:val="0"/>
          <w:numId w:val="10"/>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attività di sensibilizzazione, informazione e divulgazione</w:t>
      </w:r>
    </w:p>
    <w:p w:rsidR="009C2F51" w:rsidRPr="009C2F51" w:rsidRDefault="009C2F51" w:rsidP="009C2F51">
      <w:pPr>
        <w:pStyle w:val="Nessunaspaziatura"/>
        <w:numPr>
          <w:ilvl w:val="0"/>
          <w:numId w:val="10"/>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numero di organizzazioni della società civile raggiunte con attività di sostegno e di sviluppo delle capacità </w:t>
      </w:r>
    </w:p>
    <w:p w:rsidR="009C2F51" w:rsidRPr="009C2F51" w:rsidRDefault="009C2F51" w:rsidP="009C2F51">
      <w:pPr>
        <w:pStyle w:val="Nessunaspaziatura"/>
        <w:numPr>
          <w:ilvl w:val="0"/>
          <w:numId w:val="10"/>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numero di reti e iniziative transazionali aventi come interesse primario la memoria e il patrimonio europei risultanti dall'intervento del programma. </w:t>
      </w:r>
    </w:p>
    <w:p w:rsidR="009C2F51" w:rsidRPr="009C2F51" w:rsidRDefault="009C2F51" w:rsidP="009C2F51">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lastRenderedPageBreak/>
        <w:t>E’ fondamentale capire quali sono gli indicatori di valutazione del Programma per capire cosa è importante realizzare all’interno del progetto e definire poi indicatori specifici di risultato per misurare l’impatto della nostra singola iniziativa.</w:t>
      </w:r>
    </w:p>
    <w:p w:rsidR="009C2F51" w:rsidRPr="009C2F51" w:rsidRDefault="009C2F51" w:rsidP="009C2F51">
      <w:pPr>
        <w:pStyle w:val="Nessunaspaziatura"/>
        <w:jc w:val="both"/>
        <w:rPr>
          <w:rFonts w:ascii="Times New Roman" w:eastAsia="Times New Roman" w:hAnsi="Times New Roman" w:cs="Times New Roman"/>
          <w:b/>
          <w:bCs/>
          <w:sz w:val="24"/>
          <w:szCs w:val="24"/>
          <w:lang w:eastAsia="it-IT"/>
        </w:rPr>
      </w:pPr>
      <w:r w:rsidRPr="009C2F51">
        <w:rPr>
          <w:rFonts w:ascii="Times New Roman" w:eastAsia="Times New Roman" w:hAnsi="Times New Roman" w:cs="Times New Roman"/>
          <w:b/>
          <w:bCs/>
          <w:sz w:val="24"/>
          <w:szCs w:val="24"/>
          <w:lang w:eastAsia="it-IT"/>
        </w:rPr>
        <w:t>Attività finanziate</w:t>
      </w:r>
    </w:p>
    <w:p w:rsidR="009C2F51" w:rsidRPr="009C2F51" w:rsidRDefault="009C2F51" w:rsidP="009C2F51">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I tre obiettivi specifici del programma, verranno perseguiti in particolare attraverso il sostegno alle seguenti attività:</w:t>
      </w:r>
    </w:p>
    <w:p w:rsidR="009C2F51" w:rsidRPr="009C2F51" w:rsidRDefault="009C2F51" w:rsidP="009C2F51">
      <w:pPr>
        <w:pStyle w:val="Nessunaspaziatura"/>
        <w:numPr>
          <w:ilvl w:val="0"/>
          <w:numId w:val="4"/>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sensibilizzazione del pubblico e la divulgazione di informazioni al fine di migliorare la conoscenza delle politiche e dei diritti nei settori interessati dal programma, anche tramite il sostegno a campagne nazionali ed europee e attraverso attività di commemorazione;</w:t>
      </w:r>
    </w:p>
    <w:p w:rsidR="009C2F51" w:rsidRPr="009C2F51" w:rsidRDefault="009C2F51" w:rsidP="009C2F51">
      <w:pPr>
        <w:pStyle w:val="Nessunaspaziatura"/>
        <w:numPr>
          <w:ilvl w:val="0"/>
          <w:numId w:val="4"/>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apprendimento reciproco attraverso lo scambio di buone pratiche tra i portatori di interessi per migliorare la conoscenza e la comprensione reciproca e l'impegno civico e democratico;</w:t>
      </w:r>
    </w:p>
    <w:p w:rsidR="00C948F4" w:rsidRDefault="009C2F51" w:rsidP="009C2F51">
      <w:pPr>
        <w:pStyle w:val="Nessunaspaziatura"/>
        <w:jc w:val="both"/>
        <w:rPr>
          <w:rFonts w:ascii="Times New Roman" w:eastAsia="Times New Roman" w:hAnsi="Times New Roman" w:cs="Times New Roman"/>
          <w:color w:val="404040"/>
          <w:sz w:val="24"/>
          <w:szCs w:val="24"/>
          <w:lang w:eastAsia="it-IT"/>
        </w:rPr>
      </w:pPr>
      <w:r w:rsidRPr="009C2F51">
        <w:rPr>
          <w:rFonts w:ascii="Times New Roman" w:eastAsia="Times New Roman" w:hAnsi="Times New Roman" w:cs="Times New Roman"/>
          <w:sz w:val="24"/>
          <w:szCs w:val="24"/>
          <w:lang w:eastAsia="it-IT"/>
        </w:rPr>
        <w:t>attività di analisi e monitoraggio al fine di migliorare la comprensione della situazione negli Stati membri e a livello dell'UE nei settori interessati dal programma, nonché l'applicazione del diritto</w:t>
      </w:r>
    </w:p>
    <w:p w:rsidR="00C948F4" w:rsidRDefault="00C948F4" w:rsidP="00C948F4">
      <w:pPr>
        <w:pStyle w:val="Nessunaspaziatura"/>
        <w:jc w:val="both"/>
        <w:rPr>
          <w:rFonts w:ascii="Times New Roman" w:eastAsia="Times New Roman" w:hAnsi="Times New Roman" w:cs="Times New Roman"/>
          <w:b/>
          <w:bCs/>
          <w:color w:val="404040"/>
          <w:sz w:val="24"/>
          <w:szCs w:val="24"/>
          <w:lang w:eastAsia="it-IT"/>
        </w:rPr>
      </w:pPr>
    </w:p>
    <w:p w:rsidR="00C948F4" w:rsidRPr="00C3549F" w:rsidRDefault="00C948F4" w:rsidP="00C948F4">
      <w:pPr>
        <w:pStyle w:val="Nessunaspaziatura"/>
        <w:jc w:val="both"/>
        <w:rPr>
          <w:rFonts w:ascii="Times New Roman" w:eastAsia="Times New Roman" w:hAnsi="Times New Roman" w:cs="Times New Roman"/>
          <w:b/>
          <w:bCs/>
          <w:color w:val="404040"/>
          <w:sz w:val="24"/>
          <w:szCs w:val="24"/>
          <w:lang w:eastAsia="it-IT"/>
        </w:rPr>
      </w:pPr>
      <w:r w:rsidRPr="00C3549F">
        <w:rPr>
          <w:rFonts w:ascii="Times New Roman" w:eastAsia="Times New Roman" w:hAnsi="Times New Roman" w:cs="Times New Roman"/>
          <w:b/>
          <w:bCs/>
          <w:color w:val="404040"/>
          <w:sz w:val="24"/>
          <w:szCs w:val="24"/>
          <w:lang w:eastAsia="it-IT"/>
        </w:rPr>
        <w:t xml:space="preserve">I risultati di dette attività: </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contribuiscono all'elaborazione e attuazione delle politiche dell'UE e assicurano che queste siano fondate su dati concreti, siano indirizzate in modo appropriato e ben strutturate;</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mirano alla formazione dei pertinenti portatori di interessi, in particolare, la formazione e lo sviluppo delle capacità per le professioni giuridiche (come giudici e pubblici ministeri) ed altri operatori del settore, allo scopo di fornire loro gli strumenti per applicare efficacemente in concreto i diritti garantiti dall'UE e le sue politiche;</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tendono a sviluppare e l’utilizzo di strumenti delle tecnologie dell'informazione e della comunicazione (TIC);</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rafforzano la consapevolezza dei cittadini della cultura, della storia e della memoria europee, nonché del loro senso di appartenenza all'Unione;</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sviluppano iniziative volte ad avvicinare cittadini europei di differenti culture e nazionalità dando loro l'opportunità di partecipare ad attività di gemellaggio tra città;</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promuovono e agevolano la partecipazione attiva alla costruzione di un'Unione più democratica, nonché la consapevolezza dei diritti e dei valori attraverso il sostegno ad organizzazioni della società civile;</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finanziano l'assistenza tecnica e organizzativa per l'attuazione del regolamento </w:t>
      </w:r>
      <w:hyperlink r:id="rId50" w:history="1">
        <w:r w:rsidRPr="009C2F51">
          <w:rPr>
            <w:rStyle w:val="Collegamentoipertestuale"/>
            <w:rFonts w:ascii="Times New Roman" w:eastAsia="Times New Roman" w:hAnsi="Times New Roman" w:cs="Times New Roman"/>
            <w:color w:val="auto"/>
            <w:sz w:val="24"/>
            <w:szCs w:val="24"/>
            <w:lang w:eastAsia="it-IT"/>
          </w:rPr>
          <w:t>(UE) n. 211/2011</w:t>
        </w:r>
      </w:hyperlink>
      <w:r w:rsidRPr="009C2F51">
        <w:rPr>
          <w:rFonts w:ascii="Times New Roman" w:eastAsia="Times New Roman" w:hAnsi="Times New Roman" w:cs="Times New Roman"/>
          <w:sz w:val="24"/>
          <w:szCs w:val="24"/>
          <w:lang w:eastAsia="it-IT"/>
        </w:rPr>
        <w:t>, sostenendo in tal modo l'esercizio da parte dei cittadini del diritto di avviare e sostenere iniziative dei cittadini europei;</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 xml:space="preserve">sviluppo della capacità delle reti europee di promuovere e sviluppare ulteriormente il diritto, le strategie e gli obiettivi programmatici dell'Unione e sostegno delle organizzazioni della società civile operanti nei settori interessati dal programma. </w:t>
      </w:r>
    </w:p>
    <w:p w:rsidR="00C948F4" w:rsidRPr="009C2F51" w:rsidRDefault="00C948F4" w:rsidP="00C948F4">
      <w:pPr>
        <w:pStyle w:val="Nessunaspaziatura"/>
        <w:numPr>
          <w:ilvl w:val="0"/>
          <w:numId w:val="12"/>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miglioramento della conoscenza del programma, diffusione e trasferibilità dei suoi risultati e promozione della prossimità ai cittadini, anche istituendo e sostenendo sportelli/una rete di punti di contatto nazionali del programma.</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Il rafforzamento delle reti e della società civile a livello dell'UE agevolerà la preparazione di future iniziative in questo settore e ne promuoverà l'applicazione coerente in Europa;</w:t>
      </w:r>
    </w:p>
    <w:p w:rsidR="00C948F4" w:rsidRPr="009C2F51" w:rsidRDefault="00C948F4" w:rsidP="00C948F4">
      <w:pPr>
        <w:pStyle w:val="Nessunaspaziatura"/>
        <w:jc w:val="both"/>
        <w:rPr>
          <w:rFonts w:ascii="Times New Roman" w:eastAsia="Times New Roman" w:hAnsi="Times New Roman" w:cs="Times New Roman"/>
          <w:b/>
          <w:bCs/>
          <w:sz w:val="24"/>
          <w:szCs w:val="24"/>
          <w:lang w:eastAsia="it-IT"/>
        </w:rPr>
      </w:pPr>
    </w:p>
    <w:p w:rsidR="00C948F4" w:rsidRPr="009C2F51" w:rsidRDefault="00C948F4" w:rsidP="00C948F4">
      <w:pPr>
        <w:pStyle w:val="Nessunaspaziatura"/>
        <w:jc w:val="both"/>
        <w:rPr>
          <w:rFonts w:ascii="Times New Roman" w:eastAsia="Times New Roman" w:hAnsi="Times New Roman" w:cs="Times New Roman"/>
          <w:b/>
          <w:bCs/>
          <w:sz w:val="24"/>
          <w:szCs w:val="24"/>
          <w:lang w:eastAsia="it-IT"/>
        </w:rPr>
      </w:pPr>
      <w:r w:rsidRPr="009C2F51">
        <w:rPr>
          <w:rFonts w:ascii="Times New Roman" w:eastAsia="Times New Roman" w:hAnsi="Times New Roman" w:cs="Times New Roman"/>
          <w:b/>
          <w:bCs/>
          <w:sz w:val="24"/>
          <w:szCs w:val="24"/>
          <w:lang w:eastAsia="it-IT"/>
        </w:rPr>
        <w:t>Soggetti ammissibili</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 I soggetti giuridici stabiliti in uno dei seguenti paesi:</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uno Stato membro o un paese o territorio d'oltremare a esso connesso</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un paese terzo associato al programma</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b) I soggetti giuridici costituiti a norma del diritto dell'Unione o le organizzazioni internazionali.</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Può essere assegnata una sovvenzione senza invito a presentare proposte (call for proposal) alla rete europea di enti nazionali per le pari opportunità (EQUINET) per coprire le spese associate al suo programma di lavoro permanente. </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lastRenderedPageBreak/>
        <w:t>A titolo di esempio, i soggetti che potrebbero beneficiare del Programma Diritti e Valori sono:</w:t>
      </w:r>
    </w:p>
    <w:p w:rsidR="00C948F4" w:rsidRPr="009C2F51" w:rsidRDefault="00C948F4" w:rsidP="00C948F4">
      <w:pPr>
        <w:pStyle w:val="Nessunaspaziatura"/>
        <w:numPr>
          <w:ilvl w:val="0"/>
          <w:numId w:val="1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Amministrazioni statali, autorità locali e regionali</w:t>
      </w:r>
    </w:p>
    <w:p w:rsidR="00C948F4" w:rsidRPr="009C2F51" w:rsidRDefault="00C948F4" w:rsidP="00C948F4">
      <w:pPr>
        <w:pStyle w:val="Nessunaspaziatura"/>
        <w:numPr>
          <w:ilvl w:val="0"/>
          <w:numId w:val="1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Scuole, centri di formazione, università</w:t>
      </w:r>
    </w:p>
    <w:p w:rsidR="00C948F4" w:rsidRPr="009C2F51" w:rsidRDefault="00C948F4" w:rsidP="00C948F4">
      <w:pPr>
        <w:pStyle w:val="Nessunaspaziatura"/>
        <w:numPr>
          <w:ilvl w:val="0"/>
          <w:numId w:val="1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Centri di ricerca</w:t>
      </w:r>
    </w:p>
    <w:p w:rsidR="00C948F4" w:rsidRPr="009C2F51" w:rsidRDefault="00C948F4" w:rsidP="00C948F4">
      <w:pPr>
        <w:pStyle w:val="Nessunaspaziatura"/>
        <w:numPr>
          <w:ilvl w:val="0"/>
          <w:numId w:val="13"/>
        </w:numPr>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ONG, organizzazioni internazionali, associazioni, comitati di gemellaggio, organizzazioni della società civile, organizzazioni per la cultura, la gioventù, l'istruzione e la ricerca</w:t>
      </w:r>
    </w:p>
    <w:p w:rsidR="00C948F4" w:rsidRPr="009C2F51" w:rsidRDefault="00C948F4" w:rsidP="00C948F4">
      <w:pPr>
        <w:pStyle w:val="Nessunaspaziatura"/>
        <w:jc w:val="both"/>
        <w:rPr>
          <w:rFonts w:ascii="Times New Roman" w:eastAsia="Times New Roman" w:hAnsi="Times New Roman" w:cs="Times New Roman"/>
          <w:b/>
          <w:bCs/>
          <w:sz w:val="24"/>
          <w:szCs w:val="24"/>
          <w:lang w:eastAsia="it-IT"/>
        </w:rPr>
      </w:pPr>
      <w:r w:rsidRPr="009C2F51">
        <w:rPr>
          <w:rFonts w:ascii="Times New Roman" w:eastAsia="Times New Roman" w:hAnsi="Times New Roman" w:cs="Times New Roman"/>
          <w:b/>
          <w:bCs/>
          <w:sz w:val="24"/>
          <w:szCs w:val="24"/>
          <w:lang w:eastAsia="it-IT"/>
        </w:rPr>
        <w:t>Quota di finanziamento</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Da definire (fare sempre riferimento all'Annual Work Programme)</w:t>
      </w:r>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r w:rsidRPr="009C2F51">
        <w:rPr>
          <w:rFonts w:ascii="Times New Roman" w:eastAsia="Times New Roman" w:hAnsi="Times New Roman" w:cs="Times New Roman"/>
          <w:sz w:val="24"/>
          <w:szCs w:val="24"/>
          <w:lang w:eastAsia="it-IT"/>
        </w:rPr>
        <w:t>Siti web di riferimento</w:t>
      </w:r>
    </w:p>
    <w:p w:rsidR="00C948F4" w:rsidRPr="009C2F51" w:rsidRDefault="0086067C" w:rsidP="00C948F4">
      <w:pPr>
        <w:pStyle w:val="Nessunaspaziatura"/>
        <w:jc w:val="both"/>
        <w:rPr>
          <w:rFonts w:ascii="Times New Roman" w:eastAsia="Times New Roman" w:hAnsi="Times New Roman" w:cs="Times New Roman"/>
          <w:sz w:val="24"/>
          <w:szCs w:val="24"/>
          <w:lang w:eastAsia="it-IT"/>
        </w:rPr>
      </w:pPr>
      <w:hyperlink r:id="rId51" w:history="1">
        <w:r w:rsidR="00C948F4" w:rsidRPr="009C2F51">
          <w:rPr>
            <w:rStyle w:val="Collegamentoipertestuale"/>
            <w:rFonts w:ascii="Times New Roman" w:eastAsia="Times New Roman" w:hAnsi="Times New Roman" w:cs="Times New Roman"/>
            <w:color w:val="auto"/>
            <w:sz w:val="24"/>
            <w:szCs w:val="24"/>
            <w:lang w:eastAsia="it-IT"/>
          </w:rPr>
          <w:t>Fondo dell'UE per la giustizia, i diritti e i valori</w:t>
        </w:r>
      </w:hyperlink>
    </w:p>
    <w:p w:rsidR="00C948F4" w:rsidRPr="009C2F51" w:rsidRDefault="0086067C" w:rsidP="00C948F4">
      <w:pPr>
        <w:pStyle w:val="Nessunaspaziatura"/>
        <w:jc w:val="both"/>
        <w:rPr>
          <w:rFonts w:ascii="Times New Roman" w:eastAsia="Times New Roman" w:hAnsi="Times New Roman" w:cs="Times New Roman"/>
          <w:sz w:val="24"/>
          <w:szCs w:val="24"/>
          <w:lang w:val="en-US" w:eastAsia="it-IT"/>
        </w:rPr>
      </w:pPr>
      <w:hyperlink r:id="rId52" w:history="1">
        <w:r w:rsidR="00C948F4" w:rsidRPr="009C2F51">
          <w:rPr>
            <w:rStyle w:val="Collegamentoipertestuale"/>
            <w:rFonts w:ascii="Times New Roman" w:eastAsia="Times New Roman" w:hAnsi="Times New Roman" w:cs="Times New Roman"/>
            <w:color w:val="auto"/>
            <w:sz w:val="24"/>
            <w:szCs w:val="24"/>
            <w:lang w:val="en-US" w:eastAsia="it-IT"/>
          </w:rPr>
          <w:t xml:space="preserve">Rights and Values </w:t>
        </w:r>
        <w:proofErr w:type="spellStart"/>
        <w:r w:rsidR="00C948F4" w:rsidRPr="009C2F51">
          <w:rPr>
            <w:rStyle w:val="Collegamentoipertestuale"/>
            <w:rFonts w:ascii="Times New Roman" w:eastAsia="Times New Roman" w:hAnsi="Times New Roman" w:cs="Times New Roman"/>
            <w:color w:val="auto"/>
            <w:sz w:val="24"/>
            <w:szCs w:val="24"/>
            <w:lang w:val="en-US" w:eastAsia="it-IT"/>
          </w:rPr>
          <w:t>Programme</w:t>
        </w:r>
        <w:proofErr w:type="spellEnd"/>
        <w:r w:rsidR="00C948F4" w:rsidRPr="009C2F51">
          <w:rPr>
            <w:rStyle w:val="Collegamentoipertestuale"/>
            <w:rFonts w:ascii="Times New Roman" w:eastAsia="Times New Roman" w:hAnsi="Times New Roman" w:cs="Times New Roman"/>
            <w:color w:val="auto"/>
            <w:sz w:val="24"/>
            <w:szCs w:val="24"/>
            <w:lang w:val="en-US" w:eastAsia="it-IT"/>
          </w:rPr>
          <w:t xml:space="preserve"> 2021-2027</w:t>
        </w:r>
      </w:hyperlink>
    </w:p>
    <w:p w:rsidR="00C948F4" w:rsidRPr="009C2F51" w:rsidRDefault="00C948F4" w:rsidP="00C948F4">
      <w:pPr>
        <w:pStyle w:val="Nessunaspaziatura"/>
        <w:jc w:val="both"/>
        <w:rPr>
          <w:rFonts w:ascii="Times New Roman" w:eastAsia="Times New Roman" w:hAnsi="Times New Roman" w:cs="Times New Roman"/>
          <w:sz w:val="24"/>
          <w:szCs w:val="24"/>
          <w:lang w:val="en-US" w:eastAsia="it-IT"/>
        </w:rPr>
      </w:pPr>
      <w:proofErr w:type="spellStart"/>
      <w:r w:rsidRPr="009C2F51">
        <w:rPr>
          <w:rFonts w:ascii="Times New Roman" w:eastAsia="Times New Roman" w:hAnsi="Times New Roman" w:cs="Times New Roman"/>
          <w:sz w:val="24"/>
          <w:szCs w:val="24"/>
          <w:lang w:val="en-US" w:eastAsia="it-IT"/>
        </w:rPr>
        <w:t>Quadro</w:t>
      </w:r>
      <w:proofErr w:type="spellEnd"/>
      <w:r w:rsidRPr="009C2F51">
        <w:rPr>
          <w:rFonts w:ascii="Times New Roman" w:eastAsia="Times New Roman" w:hAnsi="Times New Roman" w:cs="Times New Roman"/>
          <w:sz w:val="24"/>
          <w:szCs w:val="24"/>
          <w:lang w:val="en-US" w:eastAsia="it-IT"/>
        </w:rPr>
        <w:t xml:space="preserve"> </w:t>
      </w:r>
      <w:proofErr w:type="spellStart"/>
      <w:r w:rsidRPr="009C2F51">
        <w:rPr>
          <w:rFonts w:ascii="Times New Roman" w:eastAsia="Times New Roman" w:hAnsi="Times New Roman" w:cs="Times New Roman"/>
          <w:sz w:val="24"/>
          <w:szCs w:val="24"/>
          <w:lang w:val="en-US" w:eastAsia="it-IT"/>
        </w:rPr>
        <w:t>normativo</w:t>
      </w:r>
      <w:proofErr w:type="spellEnd"/>
    </w:p>
    <w:p w:rsidR="00C948F4" w:rsidRPr="009C2F51" w:rsidRDefault="0086067C" w:rsidP="00C948F4">
      <w:pPr>
        <w:pStyle w:val="Nessunaspaziatura"/>
        <w:jc w:val="both"/>
        <w:rPr>
          <w:rFonts w:ascii="Times New Roman" w:eastAsia="Times New Roman" w:hAnsi="Times New Roman" w:cs="Times New Roman"/>
          <w:sz w:val="24"/>
          <w:szCs w:val="24"/>
          <w:lang w:eastAsia="it-IT"/>
        </w:rPr>
      </w:pPr>
      <w:hyperlink r:id="rId53" w:history="1">
        <w:r w:rsidR="00C948F4" w:rsidRPr="009C2F51">
          <w:rPr>
            <w:rStyle w:val="Collegamentoipertestuale"/>
            <w:rFonts w:ascii="Times New Roman" w:eastAsia="Times New Roman" w:hAnsi="Times New Roman" w:cs="Times New Roman"/>
            <w:color w:val="auto"/>
            <w:sz w:val="24"/>
            <w:szCs w:val="24"/>
            <w:lang w:eastAsia="it-IT"/>
          </w:rPr>
          <w:t>Regolamento</w:t>
        </w:r>
      </w:hyperlink>
    </w:p>
    <w:p w:rsidR="00C948F4" w:rsidRDefault="0086067C" w:rsidP="00C948F4">
      <w:pPr>
        <w:pStyle w:val="Nessunaspaziatura"/>
        <w:jc w:val="both"/>
      </w:pPr>
      <w:hyperlink r:id="rId54" w:history="1">
        <w:r w:rsidR="00C948F4" w:rsidRPr="009C2F51">
          <w:rPr>
            <w:rStyle w:val="Collegamentoipertestuale"/>
            <w:rFonts w:ascii="Times New Roman" w:eastAsia="Times New Roman" w:hAnsi="Times New Roman" w:cs="Times New Roman"/>
            <w:color w:val="auto"/>
            <w:sz w:val="24"/>
            <w:szCs w:val="24"/>
            <w:lang w:eastAsia="it-IT"/>
          </w:rPr>
          <w:t>Allegati al regolamento</w:t>
        </w:r>
      </w:hyperlink>
    </w:p>
    <w:p w:rsidR="00EF6121" w:rsidRPr="009C2F51" w:rsidRDefault="00EF6121" w:rsidP="00C948F4">
      <w:pPr>
        <w:pStyle w:val="Nessunaspaziatura"/>
        <w:jc w:val="both"/>
        <w:rPr>
          <w:rFonts w:ascii="Times New Roman" w:eastAsia="Times New Roman" w:hAnsi="Times New Roman" w:cs="Times New Roman"/>
          <w:sz w:val="24"/>
          <w:szCs w:val="24"/>
          <w:lang w:eastAsia="it-IT"/>
        </w:rPr>
      </w:pPr>
    </w:p>
    <w:p w:rsidR="00C948F4" w:rsidRPr="009C2F51" w:rsidRDefault="0086067C" w:rsidP="00C948F4">
      <w:pPr>
        <w:pStyle w:val="Nessunaspaziatura"/>
        <w:jc w:val="both"/>
        <w:rPr>
          <w:rFonts w:ascii="Times New Roman" w:eastAsia="Times New Roman" w:hAnsi="Times New Roman" w:cs="Times New Roman"/>
          <w:sz w:val="24"/>
          <w:szCs w:val="24"/>
          <w:lang w:eastAsia="it-IT"/>
        </w:rPr>
      </w:pPr>
      <w:hyperlink r:id="rId55" w:history="1">
        <w:r w:rsidR="00C948F4" w:rsidRPr="009C2F51">
          <w:rPr>
            <w:rStyle w:val="Collegamentoipertestuale"/>
            <w:rFonts w:ascii="Times New Roman" w:eastAsia="Times New Roman" w:hAnsi="Times New Roman" w:cs="Times New Roman"/>
            <w:color w:val="auto"/>
            <w:sz w:val="24"/>
            <w:szCs w:val="24"/>
            <w:lang w:eastAsia="it-IT"/>
          </w:rPr>
          <w:t>Regolamento Finanziario UE</w:t>
        </w:r>
      </w:hyperlink>
    </w:p>
    <w:p w:rsidR="00C948F4" w:rsidRPr="009C2F51" w:rsidRDefault="0086067C" w:rsidP="00C948F4">
      <w:pPr>
        <w:pStyle w:val="Nessunaspaziatura"/>
        <w:jc w:val="both"/>
        <w:rPr>
          <w:rFonts w:ascii="Times New Roman" w:eastAsia="Times New Roman" w:hAnsi="Times New Roman" w:cs="Times New Roman"/>
          <w:sz w:val="24"/>
          <w:szCs w:val="24"/>
          <w:lang w:eastAsia="it-IT"/>
        </w:rPr>
      </w:pPr>
      <w:hyperlink r:id="rId56" w:tgtFrame="_blank" w:history="1">
        <w:r w:rsidR="00C948F4" w:rsidRPr="009C2F51">
          <w:rPr>
            <w:rStyle w:val="Collegamentoipertestuale"/>
            <w:rFonts w:ascii="Times New Roman" w:eastAsia="Times New Roman" w:hAnsi="Times New Roman" w:cs="Times New Roman"/>
            <w:color w:val="auto"/>
            <w:sz w:val="24"/>
            <w:szCs w:val="24"/>
            <w:lang w:eastAsia="it-IT"/>
          </w:rPr>
          <w:t>Carta dei Diritti Fondamentali dell'UE</w:t>
        </w:r>
      </w:hyperlink>
    </w:p>
    <w:p w:rsidR="00C948F4" w:rsidRPr="009C2F51" w:rsidRDefault="0086067C" w:rsidP="00C948F4">
      <w:pPr>
        <w:pStyle w:val="Nessunaspaziatura"/>
        <w:jc w:val="both"/>
        <w:rPr>
          <w:rFonts w:ascii="Times New Roman" w:eastAsia="Times New Roman" w:hAnsi="Times New Roman" w:cs="Times New Roman"/>
          <w:sz w:val="24"/>
          <w:szCs w:val="24"/>
          <w:lang w:eastAsia="it-IT"/>
        </w:rPr>
      </w:pPr>
      <w:hyperlink r:id="rId57" w:tgtFrame="_blank" w:history="1">
        <w:r w:rsidR="00C948F4" w:rsidRPr="009C2F51">
          <w:rPr>
            <w:rStyle w:val="Collegamentoipertestuale"/>
            <w:rFonts w:ascii="Times New Roman" w:eastAsia="Times New Roman" w:hAnsi="Times New Roman" w:cs="Times New Roman"/>
            <w:color w:val="auto"/>
            <w:sz w:val="24"/>
            <w:szCs w:val="24"/>
            <w:lang w:eastAsia="it-IT"/>
          </w:rPr>
          <w:t>Trattato sul funzionamento dell'UE (TFUE)</w:t>
        </w:r>
      </w:hyperlink>
    </w:p>
    <w:p w:rsidR="00C948F4" w:rsidRPr="009C2F51" w:rsidRDefault="00C948F4" w:rsidP="00C948F4">
      <w:pPr>
        <w:pStyle w:val="Nessunaspaziatura"/>
        <w:jc w:val="both"/>
        <w:rPr>
          <w:rFonts w:ascii="Times New Roman" w:eastAsia="Times New Roman" w:hAnsi="Times New Roman" w:cs="Times New Roman"/>
          <w:sz w:val="24"/>
          <w:szCs w:val="24"/>
          <w:lang w:eastAsia="it-IT"/>
        </w:rPr>
      </w:pPr>
    </w:p>
    <w:p w:rsidR="00C948F4" w:rsidRPr="00814684" w:rsidRDefault="00C948F4" w:rsidP="00C948F4">
      <w:pPr>
        <w:pStyle w:val="Nessunaspaziatura"/>
        <w:jc w:val="center"/>
        <w:rPr>
          <w:rFonts w:ascii="Times New Roman" w:eastAsia="Times New Roman" w:hAnsi="Times New Roman" w:cs="Times New Roman"/>
          <w:b/>
          <w:bCs/>
          <w:color w:val="000000"/>
          <w:sz w:val="32"/>
          <w:szCs w:val="32"/>
          <w:lang w:eastAsia="it-IT"/>
        </w:rPr>
      </w:pPr>
      <w:r w:rsidRPr="00814684">
        <w:rPr>
          <w:rFonts w:ascii="Times New Roman" w:eastAsia="Times New Roman" w:hAnsi="Times New Roman" w:cs="Times New Roman"/>
          <w:b/>
          <w:bCs/>
          <w:color w:val="000000"/>
          <w:sz w:val="32"/>
          <w:szCs w:val="32"/>
          <w:lang w:eastAsia="it-IT"/>
        </w:rPr>
        <w:t>Finanziare il bilancio a lungo termine e Next Generation UE</w:t>
      </w:r>
    </w:p>
    <w:tbl>
      <w:tblPr>
        <w:tblpPr w:leftFromText="45" w:rightFromText="45" w:vertAnchor="text"/>
        <w:tblW w:w="16138" w:type="dxa"/>
        <w:shd w:val="clear" w:color="auto" w:fill="FFFFFF"/>
        <w:tblCellMar>
          <w:top w:w="15" w:type="dxa"/>
          <w:left w:w="15" w:type="dxa"/>
          <w:bottom w:w="15" w:type="dxa"/>
          <w:right w:w="15" w:type="dxa"/>
        </w:tblCellMar>
        <w:tblLook w:val="04A0"/>
      </w:tblPr>
      <w:tblGrid>
        <w:gridCol w:w="9639"/>
        <w:gridCol w:w="6499"/>
      </w:tblGrid>
      <w:tr w:rsidR="00C948F4" w:rsidRPr="00CB7530" w:rsidTr="00967DBB">
        <w:tc>
          <w:tcPr>
            <w:tcW w:w="9639"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Il bilancio a lungo termine continuerà ad essere Finanziato utilizzando le fonti di entrata dell’UE, utilizzando:</w:t>
            </w:r>
          </w:p>
          <w:p w:rsidR="00C948F4" w:rsidRPr="00EF6121" w:rsidRDefault="00C948F4" w:rsidP="00967DBB">
            <w:pPr>
              <w:pStyle w:val="Nessunaspaziatura"/>
              <w:numPr>
                <w:ilvl w:val="0"/>
                <w:numId w:val="30"/>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Dazi doganali</w:t>
            </w:r>
          </w:p>
          <w:p w:rsidR="00C948F4" w:rsidRPr="00EF6121" w:rsidRDefault="00C948F4" w:rsidP="00967DBB">
            <w:pPr>
              <w:pStyle w:val="Nessunaspaziatura"/>
              <w:numPr>
                <w:ilvl w:val="0"/>
                <w:numId w:val="30"/>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Contributi degli Stati membri, basati sull’IVA</w:t>
            </w:r>
          </w:p>
          <w:p w:rsidR="00C948F4" w:rsidRPr="00EF6121" w:rsidRDefault="00C948F4" w:rsidP="00967DBB">
            <w:pPr>
              <w:pStyle w:val="Nessunaspaziatura"/>
              <w:numPr>
                <w:ilvl w:val="0"/>
                <w:numId w:val="30"/>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Contributi basati sul PNL</w:t>
            </w:r>
          </w:p>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p w:rsidR="00C948F4" w:rsidRPr="00EF6121" w:rsidRDefault="00C948F4" w:rsidP="00967DBB">
            <w:pPr>
              <w:pStyle w:val="Nessunaspaziatura"/>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Per finanziare la ripresa l’UE assumerà prestiti sui mercati finanziari, più favorevoli rispetto a molti Stati membri e ridistribuirà gli importi. Perché ciò sia possibile tutti gli Stati dovranno ratificare la decisione relativa alle risorse proprie.</w:t>
            </w:r>
          </w:p>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r w:rsidRPr="00EF6121">
              <w:rPr>
                <w:rFonts w:ascii="Times New Roman" w:eastAsia="Times New Roman" w:hAnsi="Times New Roman" w:cs="Times New Roman"/>
                <w:sz w:val="24"/>
                <w:szCs w:val="24"/>
                <w:lang w:eastAsia="it-IT"/>
              </w:rPr>
              <w:t>Dal 1° gennaio 2021 tra le fonti di entrata del bilancio dell’UE verrà introdotto un nuovo contributo nazionale, basato sui rifiuti di imballaggio di plastica non riciclatati</w:t>
            </w:r>
          </w:p>
        </w:tc>
        <w:tc>
          <w:tcPr>
            <w:tcW w:w="0" w:type="auto"/>
            <w:shd w:val="clear" w:color="auto" w:fill="FFFFFF"/>
            <w:vAlign w:val="center"/>
            <w:hideMark/>
          </w:tcPr>
          <w:p w:rsidR="00C948F4" w:rsidRPr="00CB7530" w:rsidRDefault="00C948F4" w:rsidP="00967DBB">
            <w:pPr>
              <w:pStyle w:val="Nessunaspaziatura"/>
              <w:jc w:val="both"/>
              <w:rPr>
                <w:rFonts w:ascii="Times New Roman" w:hAnsi="Times New Roman" w:cs="Times New Roman"/>
                <w:sz w:val="24"/>
                <w:szCs w:val="24"/>
                <w:lang w:eastAsia="it-IT"/>
              </w:rPr>
            </w:pPr>
          </w:p>
        </w:tc>
      </w:tr>
    </w:tbl>
    <w:p w:rsidR="00C948F4" w:rsidRPr="00CB7530" w:rsidRDefault="00C948F4" w:rsidP="00C948F4">
      <w:pPr>
        <w:pStyle w:val="Nessunaspaziatura"/>
        <w:jc w:val="both"/>
        <w:rPr>
          <w:rFonts w:ascii="Times New Roman" w:eastAsia="Times New Roman" w:hAnsi="Times New Roman" w:cs="Times New Roman"/>
          <w:color w:val="000000"/>
          <w:sz w:val="24"/>
          <w:szCs w:val="24"/>
          <w:lang w:eastAsia="it-IT"/>
        </w:rPr>
      </w:pPr>
    </w:p>
    <w:p w:rsidR="00C948F4" w:rsidRPr="00CB7530" w:rsidRDefault="00C948F4" w:rsidP="00C948F4">
      <w:pPr>
        <w:pStyle w:val="Nessunaspaziatura"/>
        <w:jc w:val="both"/>
        <w:rPr>
          <w:rFonts w:ascii="Times New Roman" w:eastAsia="Times New Roman" w:hAnsi="Times New Roman" w:cs="Times New Roman"/>
          <w:color w:val="000000"/>
          <w:sz w:val="24"/>
          <w:szCs w:val="24"/>
          <w:lang w:eastAsia="it-IT"/>
        </w:rPr>
      </w:pPr>
      <w:r w:rsidRPr="00D61D3B">
        <w:rPr>
          <w:rFonts w:ascii="Times New Roman" w:eastAsia="Times New Roman" w:hAnsi="Times New Roman" w:cs="Times New Roman"/>
          <w:color w:val="000000"/>
          <w:sz w:val="24"/>
          <w:szCs w:val="24"/>
          <w:highlight w:val="yellow"/>
          <w:lang w:eastAsia="it-IT"/>
        </w:rPr>
        <w:t>Verso nuove fonti di entrate per contribuire al rimborso del prestito</w:t>
      </w:r>
    </w:p>
    <w:p w:rsidR="00C948F4" w:rsidRPr="00EF6121" w:rsidRDefault="00C948F4" w:rsidP="00C948F4">
      <w:pPr>
        <w:pStyle w:val="Nessunaspaziatura"/>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Entro giugno 2021 la Commissione presenterà alcune proposte sulle risorse proprie, legate alle seguenti iniziative:</w:t>
      </w:r>
    </w:p>
    <w:tbl>
      <w:tblPr>
        <w:tblpPr w:leftFromText="45" w:rightFromText="45" w:vertAnchor="text"/>
        <w:tblW w:w="11749" w:type="dxa"/>
        <w:shd w:val="clear" w:color="auto" w:fill="FFFFFF"/>
        <w:tblCellMar>
          <w:top w:w="15" w:type="dxa"/>
          <w:left w:w="15" w:type="dxa"/>
          <w:bottom w:w="15" w:type="dxa"/>
          <w:right w:w="15" w:type="dxa"/>
        </w:tblCellMar>
        <w:tblLook w:val="04A0"/>
      </w:tblPr>
      <w:tblGrid>
        <w:gridCol w:w="142"/>
        <w:gridCol w:w="11607"/>
      </w:tblGrid>
      <w:tr w:rsidR="00C948F4" w:rsidRPr="00EF6121" w:rsidTr="00967DBB">
        <w:tc>
          <w:tcPr>
            <w:tcW w:w="142"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tc>
        <w:tc>
          <w:tcPr>
            <w:tcW w:w="11607" w:type="dxa"/>
            <w:shd w:val="clear" w:color="auto" w:fill="FFFFFF"/>
            <w:vAlign w:val="center"/>
            <w:hideMark/>
          </w:tcPr>
          <w:p w:rsidR="00C948F4" w:rsidRPr="00EF6121" w:rsidRDefault="00C948F4" w:rsidP="00967DBB">
            <w:pPr>
              <w:pStyle w:val="Nessunaspaziatura"/>
              <w:numPr>
                <w:ilvl w:val="0"/>
                <w:numId w:val="32"/>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 xml:space="preserve">un meccanismo di adeguamento delle emissioni di CO2 alle frontiere </w:t>
            </w:r>
          </w:p>
        </w:tc>
      </w:tr>
      <w:tr w:rsidR="00C948F4" w:rsidRPr="00EF6121" w:rsidTr="00967DBB">
        <w:tc>
          <w:tcPr>
            <w:tcW w:w="142"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tc>
        <w:tc>
          <w:tcPr>
            <w:tcW w:w="11607" w:type="dxa"/>
            <w:shd w:val="clear" w:color="auto" w:fill="FFFFFF"/>
            <w:vAlign w:val="center"/>
            <w:hideMark/>
          </w:tcPr>
          <w:p w:rsidR="00C948F4" w:rsidRPr="00EF6121" w:rsidRDefault="00C948F4" w:rsidP="00967DBB">
            <w:pPr>
              <w:pStyle w:val="Nessunaspaziatura"/>
              <w:numPr>
                <w:ilvl w:val="0"/>
                <w:numId w:val="32"/>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un prelievo sul digitale</w:t>
            </w:r>
          </w:p>
        </w:tc>
      </w:tr>
      <w:tr w:rsidR="00C948F4" w:rsidRPr="00EF6121" w:rsidTr="00967DBB">
        <w:tc>
          <w:tcPr>
            <w:tcW w:w="142"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tc>
        <w:tc>
          <w:tcPr>
            <w:tcW w:w="11607" w:type="dxa"/>
            <w:shd w:val="clear" w:color="auto" w:fill="FFFFFF"/>
            <w:vAlign w:val="center"/>
            <w:hideMark/>
          </w:tcPr>
          <w:p w:rsidR="00C948F4" w:rsidRPr="00EF6121" w:rsidRDefault="00C948F4" w:rsidP="00967DBB">
            <w:pPr>
              <w:pStyle w:val="Nessunaspaziatura"/>
              <w:numPr>
                <w:ilvl w:val="0"/>
                <w:numId w:val="32"/>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il sistema di scambio delle quote di emissione dell'UE</w:t>
            </w:r>
          </w:p>
        </w:tc>
      </w:tr>
    </w:tbl>
    <w:p w:rsidR="00C948F4" w:rsidRPr="00EF6121" w:rsidRDefault="00C948F4" w:rsidP="00C948F4">
      <w:pPr>
        <w:pStyle w:val="Nessunaspaziatura"/>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Entro giugno 2024 la Commissione dovrà proporre nuove fonti di entrate, ad esempio:</w:t>
      </w:r>
    </w:p>
    <w:tbl>
      <w:tblPr>
        <w:tblpPr w:leftFromText="45" w:rightFromText="45" w:vertAnchor="text"/>
        <w:tblW w:w="9638" w:type="dxa"/>
        <w:shd w:val="clear" w:color="auto" w:fill="FFFFFF"/>
        <w:tblCellMar>
          <w:top w:w="15" w:type="dxa"/>
          <w:left w:w="15" w:type="dxa"/>
          <w:bottom w:w="15" w:type="dxa"/>
          <w:right w:w="15" w:type="dxa"/>
        </w:tblCellMar>
        <w:tblLook w:val="04A0"/>
      </w:tblPr>
      <w:tblGrid>
        <w:gridCol w:w="50"/>
        <w:gridCol w:w="9539"/>
        <w:gridCol w:w="49"/>
      </w:tblGrid>
      <w:tr w:rsidR="00C948F4" w:rsidRPr="00EF6121" w:rsidTr="00967DBB">
        <w:tc>
          <w:tcPr>
            <w:tcW w:w="50"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tc>
        <w:tc>
          <w:tcPr>
            <w:tcW w:w="0" w:type="auto"/>
            <w:shd w:val="clear" w:color="auto" w:fill="FFFFFF"/>
            <w:vAlign w:val="center"/>
            <w:hideMark/>
          </w:tcPr>
          <w:p w:rsidR="00C948F4" w:rsidRPr="00EF6121" w:rsidRDefault="00C948F4" w:rsidP="00967DBB">
            <w:pPr>
              <w:pStyle w:val="Nessunaspaziatura"/>
              <w:numPr>
                <w:ilvl w:val="0"/>
                <w:numId w:val="31"/>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un'imposta sulle transazioni finanziarie</w:t>
            </w:r>
          </w:p>
        </w:tc>
        <w:tc>
          <w:tcPr>
            <w:tcW w:w="0" w:type="auto"/>
            <w:shd w:val="clear" w:color="auto" w:fill="FFFFFF"/>
          </w:tcPr>
          <w:p w:rsidR="00C948F4" w:rsidRPr="00EF6121" w:rsidRDefault="00C948F4" w:rsidP="00967DBB">
            <w:pPr>
              <w:pStyle w:val="Nessunaspaziatura"/>
              <w:numPr>
                <w:ilvl w:val="0"/>
                <w:numId w:val="31"/>
              </w:numPr>
              <w:jc w:val="both"/>
              <w:rPr>
                <w:rFonts w:ascii="Times New Roman" w:eastAsia="Times New Roman" w:hAnsi="Times New Roman" w:cs="Times New Roman"/>
                <w:sz w:val="24"/>
                <w:szCs w:val="24"/>
                <w:lang w:eastAsia="it-IT"/>
              </w:rPr>
            </w:pPr>
          </w:p>
        </w:tc>
      </w:tr>
      <w:tr w:rsidR="00C948F4" w:rsidRPr="00EF6121" w:rsidTr="00967DBB">
        <w:tc>
          <w:tcPr>
            <w:tcW w:w="50" w:type="dxa"/>
            <w:shd w:val="clear" w:color="auto" w:fill="FFFFFF"/>
            <w:vAlign w:val="center"/>
            <w:hideMark/>
          </w:tcPr>
          <w:p w:rsidR="00C948F4" w:rsidRPr="00EF6121" w:rsidRDefault="00C948F4" w:rsidP="00967DBB">
            <w:pPr>
              <w:pStyle w:val="Nessunaspaziatura"/>
              <w:jc w:val="both"/>
              <w:rPr>
                <w:rFonts w:ascii="Times New Roman" w:eastAsia="Times New Roman" w:hAnsi="Times New Roman" w:cs="Times New Roman"/>
                <w:sz w:val="24"/>
                <w:szCs w:val="24"/>
                <w:lang w:eastAsia="it-IT"/>
              </w:rPr>
            </w:pPr>
          </w:p>
        </w:tc>
        <w:tc>
          <w:tcPr>
            <w:tcW w:w="0" w:type="auto"/>
            <w:shd w:val="clear" w:color="auto" w:fill="FFFFFF"/>
            <w:vAlign w:val="center"/>
            <w:hideMark/>
          </w:tcPr>
          <w:p w:rsidR="00C948F4" w:rsidRPr="00EF6121" w:rsidRDefault="00C948F4" w:rsidP="00967DBB">
            <w:pPr>
              <w:pStyle w:val="Nessunaspaziatura"/>
              <w:numPr>
                <w:ilvl w:val="0"/>
                <w:numId w:val="31"/>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un contributo finanziario collegato al settore societario</w:t>
            </w:r>
          </w:p>
          <w:p w:rsidR="00C948F4" w:rsidRPr="00EF6121" w:rsidRDefault="00C948F4" w:rsidP="00967DBB">
            <w:pPr>
              <w:pStyle w:val="Nessunaspaziatura"/>
              <w:numPr>
                <w:ilvl w:val="0"/>
                <w:numId w:val="31"/>
              </w:numPr>
              <w:jc w:val="both"/>
              <w:rPr>
                <w:rFonts w:ascii="Times New Roman" w:eastAsia="Times New Roman" w:hAnsi="Times New Roman" w:cs="Times New Roman"/>
                <w:sz w:val="24"/>
                <w:szCs w:val="24"/>
                <w:lang w:eastAsia="it-IT"/>
              </w:rPr>
            </w:pPr>
            <w:r w:rsidRPr="00EF6121">
              <w:rPr>
                <w:rFonts w:ascii="Times New Roman" w:eastAsia="Times New Roman" w:hAnsi="Times New Roman" w:cs="Times New Roman"/>
                <w:sz w:val="24"/>
                <w:szCs w:val="24"/>
                <w:lang w:eastAsia="it-IT"/>
              </w:rPr>
              <w:t>una nuova base imponibile comune per l'imposta sulle società</w:t>
            </w:r>
          </w:p>
        </w:tc>
        <w:tc>
          <w:tcPr>
            <w:tcW w:w="0" w:type="auto"/>
            <w:shd w:val="clear" w:color="auto" w:fill="FFFFFF"/>
          </w:tcPr>
          <w:p w:rsidR="00C948F4" w:rsidRPr="00EF6121" w:rsidRDefault="00C948F4" w:rsidP="00967DBB">
            <w:pPr>
              <w:pStyle w:val="Nessunaspaziatura"/>
              <w:numPr>
                <w:ilvl w:val="0"/>
                <w:numId w:val="31"/>
              </w:numPr>
              <w:jc w:val="both"/>
              <w:rPr>
                <w:rFonts w:ascii="Times New Roman" w:eastAsia="Times New Roman" w:hAnsi="Times New Roman" w:cs="Times New Roman"/>
                <w:sz w:val="24"/>
                <w:szCs w:val="24"/>
                <w:lang w:eastAsia="it-IT"/>
              </w:rPr>
            </w:pPr>
          </w:p>
        </w:tc>
      </w:tr>
      <w:tr w:rsidR="00C948F4" w:rsidRPr="00CB7530" w:rsidTr="00967DBB">
        <w:trPr>
          <w:trHeight w:val="45"/>
        </w:trPr>
        <w:tc>
          <w:tcPr>
            <w:tcW w:w="50" w:type="dxa"/>
            <w:shd w:val="clear" w:color="auto" w:fill="FFFFFF"/>
            <w:vAlign w:val="center"/>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vAlign w:val="center"/>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r>
      <w:tr w:rsidR="00C948F4" w:rsidRPr="00CB7530" w:rsidTr="00967DBB">
        <w:tc>
          <w:tcPr>
            <w:tcW w:w="50" w:type="dxa"/>
            <w:shd w:val="clear" w:color="auto" w:fill="FFFFFF"/>
            <w:vAlign w:val="center"/>
            <w:hideMark/>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vAlign w:val="center"/>
            <w:hideMark/>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c>
          <w:tcPr>
            <w:tcW w:w="0" w:type="auto"/>
            <w:shd w:val="clear" w:color="auto" w:fill="FFFFFF"/>
          </w:tcPr>
          <w:p w:rsidR="00C948F4" w:rsidRPr="00CB7530" w:rsidRDefault="00C948F4" w:rsidP="00967DBB">
            <w:pPr>
              <w:pStyle w:val="Nessunaspaziatura"/>
              <w:jc w:val="both"/>
              <w:rPr>
                <w:rFonts w:ascii="Times New Roman" w:eastAsia="Times New Roman" w:hAnsi="Times New Roman" w:cs="Times New Roman"/>
                <w:color w:val="404040"/>
                <w:sz w:val="24"/>
                <w:szCs w:val="24"/>
                <w:lang w:eastAsia="it-IT"/>
              </w:rPr>
            </w:pPr>
          </w:p>
        </w:tc>
      </w:tr>
    </w:tbl>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Risorse proprie</w:t>
      </w:r>
    </w:p>
    <w:p w:rsidR="00C948F4" w:rsidRPr="00EF6121"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Le attuali tre principali fonti di entrate per il bilancio dell'UE 2021-2027 sono i dazi doganali, i contributi basati sull'imposta sul valore aggiunto (IVA) riscossi dagli Stati membri e i contributi diretti dei paesi dell'UE, noti anche come reddito nazionale lordo (RNL) A partire dal 1 ° gennaio </w:t>
      </w:r>
      <w:r w:rsidRPr="00EF6121">
        <w:rPr>
          <w:rFonts w:ascii="Times New Roman" w:hAnsi="Times New Roman" w:cs="Times New Roman"/>
          <w:sz w:val="24"/>
          <w:szCs w:val="24"/>
        </w:rPr>
        <w:lastRenderedPageBreak/>
        <w:t>2021, una nuova fonte di entrate per il bilancio dell'UE è un contributo basato sui rifiuti di imballaggi in plastica non riciclati.</w:t>
      </w:r>
    </w:p>
    <w:p w:rsidR="00C948F4" w:rsidRPr="00EF6121" w:rsidRDefault="0086067C" w:rsidP="00C948F4">
      <w:pPr>
        <w:pStyle w:val="Nessunaspaziatura"/>
        <w:jc w:val="both"/>
        <w:rPr>
          <w:rStyle w:val="Collegamentoipertestuale"/>
          <w:rFonts w:ascii="Times New Roman" w:hAnsi="Times New Roman" w:cs="Times New Roman"/>
          <w:b/>
          <w:bCs/>
          <w:color w:val="auto"/>
          <w:sz w:val="24"/>
          <w:szCs w:val="24"/>
        </w:rPr>
      </w:pPr>
      <w:r w:rsidRPr="00EF6121">
        <w:rPr>
          <w:rFonts w:ascii="Times New Roman" w:hAnsi="Times New Roman" w:cs="Times New Roman"/>
          <w:sz w:val="24"/>
          <w:szCs w:val="24"/>
        </w:rPr>
        <w:fldChar w:fldCharType="begin"/>
      </w:r>
      <w:r w:rsidR="00C948F4" w:rsidRPr="00EF6121">
        <w:rPr>
          <w:rFonts w:ascii="Times New Roman" w:hAnsi="Times New Roman" w:cs="Times New Roman"/>
          <w:sz w:val="24"/>
          <w:szCs w:val="24"/>
        </w:rPr>
        <w:instrText xml:space="preserve"> HYPERLINK "https://ec.europa.eu/info/strategy/eu-budget/long-term-eu-budget/2021-2027/revenue/own-resources/customs-duties_en" </w:instrText>
      </w:r>
      <w:r w:rsidRPr="00EF6121">
        <w:rPr>
          <w:rFonts w:ascii="Times New Roman" w:hAnsi="Times New Roman" w:cs="Times New Roman"/>
          <w:sz w:val="24"/>
          <w:szCs w:val="24"/>
        </w:rPr>
        <w:fldChar w:fldCharType="separate"/>
      </w:r>
      <w:r w:rsidR="00C948F4" w:rsidRPr="00EF6121">
        <w:rPr>
          <w:rStyle w:val="Collegamentoipertestuale"/>
          <w:rFonts w:ascii="Times New Roman" w:hAnsi="Times New Roman" w:cs="Times New Roman"/>
          <w:b/>
          <w:bCs/>
          <w:color w:val="auto"/>
          <w:sz w:val="24"/>
          <w:szCs w:val="24"/>
        </w:rPr>
        <w:t>Scopri di più sui dazi doganali sulle importazioni da paesi extra UE: cosa sono e come funzionano.</w:t>
      </w:r>
    </w:p>
    <w:p w:rsidR="00C948F4" w:rsidRPr="00EF6121" w:rsidRDefault="0086067C" w:rsidP="00C948F4">
      <w:pPr>
        <w:pStyle w:val="Nessunaspaziatura"/>
        <w:jc w:val="both"/>
        <w:rPr>
          <w:rStyle w:val="Collegamentoipertestuale"/>
          <w:rFonts w:ascii="Times New Roman" w:hAnsi="Times New Roman" w:cs="Times New Roman"/>
          <w:b/>
          <w:bCs/>
          <w:color w:val="auto"/>
          <w:sz w:val="24"/>
          <w:szCs w:val="24"/>
        </w:rPr>
      </w:pPr>
      <w:hyperlink r:id="rId58" w:history="1">
        <w:r w:rsidR="00C948F4" w:rsidRPr="00EF6121">
          <w:rPr>
            <w:rStyle w:val="Collegamentoipertestuale"/>
            <w:rFonts w:ascii="Times New Roman" w:hAnsi="Times New Roman" w:cs="Times New Roman"/>
            <w:b/>
            <w:bCs/>
            <w:color w:val="auto"/>
            <w:sz w:val="24"/>
            <w:szCs w:val="24"/>
          </w:rPr>
          <w:t>IVA</w:t>
        </w:r>
      </w:hyperlink>
    </w:p>
    <w:p w:rsidR="00C948F4" w:rsidRPr="00EF6121" w:rsidRDefault="00C948F4" w:rsidP="00C948F4">
      <w:pPr>
        <w:pStyle w:val="Nessunaspaziatura"/>
        <w:jc w:val="both"/>
        <w:rPr>
          <w:rStyle w:val="Collegamentoipertestuale"/>
          <w:rFonts w:ascii="Times New Roman" w:hAnsi="Times New Roman" w:cs="Times New Roman"/>
          <w:b/>
          <w:bCs/>
          <w:color w:val="auto"/>
          <w:sz w:val="24"/>
          <w:szCs w:val="24"/>
        </w:rPr>
      </w:pPr>
      <w:r w:rsidRPr="00EF6121">
        <w:rPr>
          <w:rStyle w:val="Collegamentoipertestuale"/>
          <w:rFonts w:ascii="Times New Roman" w:hAnsi="Times New Roman" w:cs="Times New Roman"/>
          <w:b/>
          <w:bCs/>
          <w:color w:val="auto"/>
          <w:sz w:val="24"/>
          <w:szCs w:val="24"/>
        </w:rPr>
        <w:t>Trova informazioni sulla risorsa propria basata sull'imposta sul valore aggiunto (IVA) dell'UE, semplificata nel bilancio dell'UE per il periodo 2021-2027.</w:t>
      </w:r>
    </w:p>
    <w:p w:rsidR="00C948F4" w:rsidRPr="00EF6121" w:rsidRDefault="0086067C" w:rsidP="00C948F4">
      <w:pPr>
        <w:pStyle w:val="Nessunaspaziatura"/>
        <w:jc w:val="both"/>
        <w:rPr>
          <w:rStyle w:val="Collegamentoipertestuale"/>
          <w:rFonts w:ascii="Times New Roman" w:hAnsi="Times New Roman" w:cs="Times New Roman"/>
          <w:b/>
          <w:bCs/>
          <w:color w:val="auto"/>
          <w:sz w:val="24"/>
          <w:szCs w:val="24"/>
        </w:rPr>
      </w:pPr>
      <w:hyperlink r:id="rId59" w:history="1">
        <w:r w:rsidR="00C948F4" w:rsidRPr="00EF6121">
          <w:rPr>
            <w:rStyle w:val="Collegamentoipertestuale"/>
            <w:rFonts w:ascii="Times New Roman" w:hAnsi="Times New Roman" w:cs="Times New Roman"/>
            <w:b/>
            <w:bCs/>
            <w:color w:val="auto"/>
            <w:sz w:val="24"/>
            <w:szCs w:val="24"/>
          </w:rPr>
          <w:t>Contributi nazionali</w:t>
        </w:r>
      </w:hyperlink>
    </w:p>
    <w:p w:rsidR="00C948F4" w:rsidRPr="00EF6121" w:rsidRDefault="00C948F4" w:rsidP="00C948F4">
      <w:pPr>
        <w:pStyle w:val="Nessunaspaziatura"/>
        <w:jc w:val="both"/>
        <w:rPr>
          <w:rStyle w:val="Collegamentoipertestuale"/>
          <w:rFonts w:ascii="Times New Roman" w:hAnsi="Times New Roman" w:cs="Times New Roman"/>
          <w:b/>
          <w:bCs/>
          <w:color w:val="auto"/>
          <w:sz w:val="24"/>
          <w:szCs w:val="24"/>
        </w:rPr>
      </w:pPr>
      <w:r w:rsidRPr="00EF6121">
        <w:rPr>
          <w:rStyle w:val="Collegamentoipertestuale"/>
          <w:rFonts w:ascii="Times New Roman" w:hAnsi="Times New Roman" w:cs="Times New Roman"/>
          <w:b/>
          <w:bCs/>
          <w:color w:val="auto"/>
          <w:sz w:val="24"/>
          <w:szCs w:val="24"/>
        </w:rPr>
        <w:t>Acquisisci familiarità con il contributo basato sul reddito nazionale lordo (RNL): la principale fonte di entrate per il bilancio dell'UE.</w:t>
      </w:r>
    </w:p>
    <w:p w:rsidR="00C948F4" w:rsidRPr="00EF6121" w:rsidRDefault="0086067C" w:rsidP="00C948F4">
      <w:pPr>
        <w:pStyle w:val="Nessunaspaziatura"/>
        <w:jc w:val="both"/>
        <w:rPr>
          <w:rStyle w:val="Collegamentoipertestuale"/>
          <w:rFonts w:ascii="Times New Roman" w:hAnsi="Times New Roman" w:cs="Times New Roman"/>
          <w:b/>
          <w:bCs/>
          <w:color w:val="auto"/>
          <w:sz w:val="24"/>
          <w:szCs w:val="24"/>
        </w:rPr>
      </w:pPr>
      <w:hyperlink r:id="rId60" w:history="1">
        <w:r w:rsidR="00C948F4" w:rsidRPr="00EF6121">
          <w:rPr>
            <w:rStyle w:val="Collegamentoipertestuale"/>
            <w:rFonts w:ascii="Times New Roman" w:hAnsi="Times New Roman" w:cs="Times New Roman"/>
            <w:b/>
            <w:bCs/>
            <w:color w:val="auto"/>
            <w:sz w:val="24"/>
            <w:szCs w:val="24"/>
          </w:rPr>
          <w:t>Risorsa propria di plastica</w:t>
        </w:r>
      </w:hyperlink>
    </w:p>
    <w:p w:rsidR="00C948F4" w:rsidRPr="00EF6121" w:rsidRDefault="00C948F4" w:rsidP="00C948F4">
      <w:pPr>
        <w:pStyle w:val="Nessunaspaziatura"/>
        <w:jc w:val="both"/>
        <w:rPr>
          <w:rStyle w:val="Collegamentoipertestuale"/>
          <w:rFonts w:ascii="Times New Roman" w:hAnsi="Times New Roman" w:cs="Times New Roman"/>
          <w:b/>
          <w:bCs/>
          <w:color w:val="auto"/>
          <w:sz w:val="24"/>
          <w:szCs w:val="24"/>
        </w:rPr>
      </w:pPr>
      <w:r w:rsidRPr="00EF6121">
        <w:rPr>
          <w:rStyle w:val="Collegamentoipertestuale"/>
          <w:rFonts w:ascii="Times New Roman" w:hAnsi="Times New Roman" w:cs="Times New Roman"/>
          <w:b/>
          <w:bCs/>
          <w:color w:val="auto"/>
          <w:sz w:val="24"/>
          <w:szCs w:val="24"/>
        </w:rPr>
        <w:t>Una nuova fonte di entrate per il bilancio dell'UE, basata sui rifiuti di imballaggio in plastica non riciclata.</w:t>
      </w:r>
    </w:p>
    <w:p w:rsidR="00C948F4" w:rsidRPr="00CB7530" w:rsidRDefault="00C948F4" w:rsidP="00C948F4">
      <w:pPr>
        <w:pStyle w:val="Nessunaspaziatura"/>
        <w:jc w:val="both"/>
        <w:rPr>
          <w:rFonts w:ascii="Times New Roman" w:hAnsi="Times New Roman" w:cs="Times New Roman"/>
          <w:sz w:val="24"/>
          <w:szCs w:val="24"/>
        </w:rPr>
      </w:pPr>
      <w:r w:rsidRPr="00EF6121">
        <w:rPr>
          <w:rStyle w:val="Collegamentoipertestuale"/>
          <w:rFonts w:ascii="Times New Roman" w:hAnsi="Times New Roman" w:cs="Times New Roman"/>
          <w:b/>
          <w:bCs/>
          <w:color w:val="auto"/>
          <w:sz w:val="24"/>
          <w:szCs w:val="24"/>
        </w:rPr>
        <w:t>Dazi doganali</w:t>
      </w:r>
      <w:r w:rsidR="0086067C" w:rsidRPr="00EF6121">
        <w:rPr>
          <w:rFonts w:ascii="Times New Roman" w:hAnsi="Times New Roman" w:cs="Times New Roman"/>
          <w:sz w:val="24"/>
          <w:szCs w:val="24"/>
        </w:rPr>
        <w:fldChar w:fldCharType="end"/>
      </w:r>
    </w:p>
    <w:p w:rsidR="00C948F4" w:rsidRPr="00CB7530" w:rsidRDefault="00C948F4" w:rsidP="00C948F4">
      <w:pPr>
        <w:pStyle w:val="Nessunaspaziatura"/>
        <w:jc w:val="both"/>
        <w:rPr>
          <w:rFonts w:ascii="Times New Roman" w:hAnsi="Times New Roman" w:cs="Times New Roman"/>
          <w:sz w:val="24"/>
          <w:szCs w:val="24"/>
        </w:rPr>
      </w:pPr>
    </w:p>
    <w:p w:rsidR="00C948F4" w:rsidRPr="00CB7530" w:rsidRDefault="00C948F4" w:rsidP="00C948F4">
      <w:pPr>
        <w:pStyle w:val="Nessunaspaziatura"/>
        <w:jc w:val="both"/>
        <w:rPr>
          <w:rFonts w:ascii="Times New Roman" w:hAnsi="Times New Roman" w:cs="Times New Roman"/>
          <w:sz w:val="24"/>
          <w:szCs w:val="24"/>
        </w:rPr>
      </w:pPr>
    </w:p>
    <w:p w:rsidR="00C948F4" w:rsidRPr="00C3549F" w:rsidRDefault="00C948F4" w:rsidP="00C948F4">
      <w:pPr>
        <w:pStyle w:val="Nessunaspaziatura"/>
        <w:jc w:val="center"/>
        <w:rPr>
          <w:rFonts w:ascii="Times New Roman" w:hAnsi="Times New Roman" w:cs="Times New Roman"/>
          <w:b/>
          <w:bCs/>
          <w:sz w:val="32"/>
          <w:szCs w:val="32"/>
        </w:rPr>
      </w:pPr>
      <w:r w:rsidRPr="00C3549F">
        <w:rPr>
          <w:rFonts w:ascii="Times New Roman" w:hAnsi="Times New Roman" w:cs="Times New Roman"/>
          <w:b/>
          <w:bCs/>
          <w:sz w:val="32"/>
          <w:szCs w:val="32"/>
        </w:rPr>
        <w:t>Un tema di attualità</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NGEU, Next Generation EU, lo Strumento (o Programma) per la Ripresa e la Resilienza o (come viene più spesso abbreviato). Pur nel flusso continuo di notizie, alcuni aspetti possono ancora risultare poco chiari. Vediamo insieme, molto velocemente, una carrellata di possibili domande e risposte.</w:t>
      </w:r>
    </w:p>
    <w:p w:rsidR="00C948F4" w:rsidRPr="00CB7530" w:rsidRDefault="00C948F4" w:rsidP="00C948F4">
      <w:pPr>
        <w:pStyle w:val="Nessunaspaziatura"/>
        <w:jc w:val="both"/>
        <w:rPr>
          <w:rFonts w:ascii="Times New Roman" w:hAnsi="Times New Roman" w:cs="Times New Roman"/>
          <w:sz w:val="24"/>
          <w:szCs w:val="24"/>
        </w:rPr>
      </w:pPr>
    </w:p>
    <w:p w:rsidR="00C948F4" w:rsidRPr="00C3549F" w:rsidRDefault="00C948F4" w:rsidP="00C948F4">
      <w:pPr>
        <w:pStyle w:val="Nessunaspaziatura"/>
        <w:jc w:val="both"/>
        <w:rPr>
          <w:rFonts w:ascii="Times New Roman" w:hAnsi="Times New Roman" w:cs="Times New Roman"/>
          <w:b/>
          <w:bCs/>
          <w:sz w:val="24"/>
          <w:szCs w:val="24"/>
        </w:rPr>
      </w:pPr>
      <w:r w:rsidRPr="00C3549F">
        <w:rPr>
          <w:rFonts w:ascii="Times New Roman" w:hAnsi="Times New Roman" w:cs="Times New Roman"/>
          <w:b/>
          <w:bCs/>
          <w:sz w:val="24"/>
          <w:szCs w:val="24"/>
        </w:rPr>
        <w:t>È davvero importante?</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Sì, per vari motivi:</w:t>
      </w:r>
    </w:p>
    <w:p w:rsidR="00C948F4" w:rsidRPr="00EF6121" w:rsidRDefault="00C948F4" w:rsidP="00C948F4">
      <w:pPr>
        <w:pStyle w:val="Nessunaspaziatura"/>
        <w:jc w:val="both"/>
        <w:rPr>
          <w:rFonts w:ascii="Times New Roman" w:hAnsi="Times New Roman" w:cs="Times New Roman"/>
          <w:color w:val="C00000"/>
          <w:sz w:val="24"/>
          <w:szCs w:val="24"/>
        </w:rPr>
      </w:pPr>
      <w:r w:rsidRPr="00EF6121">
        <w:rPr>
          <w:rFonts w:ascii="Times New Roman" w:hAnsi="Times New Roman" w:cs="Times New Roman"/>
          <w:color w:val="C00000"/>
          <w:sz w:val="24"/>
          <w:szCs w:val="24"/>
        </w:rPr>
        <w:t>La quantità di fondi disponibili: sono previsti per l’Italia circa 208 miliardi di euro fondi NGEU, di cui circa 81 miliardi di euro in sovvenzioni: da impegnare entro il 2023 e spendere entro il 2026. Per dare un’idea comparativa, i Fondi Strutturali a disposizione dell’Italia per il periodo 2021-2027 ammontano a circa 43 miliardi di euro (cui si sommerà la parte di cofinanziamento nazionale). Il “Recovery Fund” rappresenta circa il doppio dei Fondi strutturali di un settennio in circa la metà del tempo.</w:t>
      </w:r>
    </w:p>
    <w:p w:rsidR="00C948F4" w:rsidRPr="00C3549F" w:rsidRDefault="00C948F4" w:rsidP="00C948F4">
      <w:pPr>
        <w:pStyle w:val="Nessunaspaziatura"/>
        <w:jc w:val="both"/>
        <w:rPr>
          <w:rFonts w:ascii="Times New Roman" w:hAnsi="Times New Roman" w:cs="Times New Roman"/>
          <w:b/>
          <w:bCs/>
          <w:sz w:val="24"/>
          <w:szCs w:val="24"/>
        </w:rPr>
      </w:pPr>
      <w:r w:rsidRPr="00C3549F">
        <w:rPr>
          <w:rFonts w:ascii="Times New Roman" w:hAnsi="Times New Roman" w:cs="Times New Roman"/>
          <w:b/>
          <w:bCs/>
          <w:sz w:val="24"/>
          <w:szCs w:val="24"/>
        </w:rPr>
        <w:t xml:space="preserve">Il significato per l’UE: </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NGEU rappresenta un grande gesto di solidarietà tra paesi europei in un momento difficile e uno spartiacque nella storia dei fondi UE. Per la prima volta, pur a titolo eccezionale, vengono introdotti i concetti di “debito pubblico europeo” e “spesa pubblica europea”; vengono inoltre aumentati l’ammontare e la varietà di “risorse proprie” a disposizione dell’UE e lanciato un processo per una loro ulteriore estensione;</w:t>
      </w:r>
    </w:p>
    <w:p w:rsidR="00C948F4" w:rsidRPr="00C3549F" w:rsidRDefault="00C948F4" w:rsidP="00C948F4">
      <w:pPr>
        <w:pStyle w:val="Nessunaspaziatura"/>
        <w:jc w:val="both"/>
        <w:rPr>
          <w:rFonts w:ascii="Times New Roman" w:hAnsi="Times New Roman" w:cs="Times New Roman"/>
          <w:b/>
          <w:bCs/>
          <w:sz w:val="24"/>
          <w:szCs w:val="24"/>
        </w:rPr>
      </w:pPr>
      <w:r w:rsidRPr="00C3549F">
        <w:rPr>
          <w:rFonts w:ascii="Times New Roman" w:hAnsi="Times New Roman" w:cs="Times New Roman"/>
          <w:b/>
          <w:bCs/>
          <w:sz w:val="24"/>
          <w:szCs w:val="24"/>
        </w:rPr>
        <w:t xml:space="preserve">Il significato per l’Italia: </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l’Italia è tra i maggiori beneficiari di NGEU (27,8% dei fondi totali) e questa grande opportunità mette sotto pressione la sua classe politica. Interessante, in questo senso, l’analisi della “prontezza” dei Paesi e delle loro amministrazioni nell’accompagnare le grandi trasformazioni, realizzata dal World Economic Forum (sezione 5 del documento). L’utilizzo efficace (e anche soltanto, l’utilizzo completo) dei fondi è uno dei punti deboli che può emergere in tutta la sua forza con NGEU (moltissimi fondi, poco tempo). NGEU richiede inoltre, oltre a singoli interventi, specifiche condizioni e uno sforzo di “visione” nella loro organizzazione.</w:t>
      </w:r>
    </w:p>
    <w:p w:rsidR="00C948F4" w:rsidRPr="00C3549F" w:rsidRDefault="00C948F4" w:rsidP="00C948F4">
      <w:pPr>
        <w:pStyle w:val="Nessunaspaziatura"/>
        <w:jc w:val="both"/>
        <w:rPr>
          <w:rFonts w:ascii="Times New Roman" w:hAnsi="Times New Roman" w:cs="Times New Roman"/>
          <w:b/>
          <w:bCs/>
          <w:sz w:val="24"/>
          <w:szCs w:val="24"/>
        </w:rPr>
      </w:pPr>
      <w:r w:rsidRPr="00C3549F">
        <w:rPr>
          <w:rFonts w:ascii="Times New Roman" w:hAnsi="Times New Roman" w:cs="Times New Roman"/>
          <w:b/>
          <w:bCs/>
          <w:sz w:val="24"/>
          <w:szCs w:val="24"/>
        </w:rPr>
        <w:t>Chi paga davvero?</w:t>
      </w:r>
    </w:p>
    <w:p w:rsidR="00C948F4" w:rsidRPr="00EF6121" w:rsidRDefault="00C948F4" w:rsidP="00C948F4">
      <w:pPr>
        <w:pStyle w:val="Nessunaspaziatura"/>
        <w:jc w:val="both"/>
        <w:rPr>
          <w:rFonts w:ascii="Times New Roman" w:hAnsi="Times New Roman" w:cs="Times New Roman"/>
          <w:color w:val="C00000"/>
          <w:sz w:val="24"/>
          <w:szCs w:val="24"/>
        </w:rPr>
      </w:pPr>
      <w:r w:rsidRPr="00EF6121">
        <w:rPr>
          <w:rFonts w:ascii="Times New Roman" w:hAnsi="Times New Roman" w:cs="Times New Roman"/>
          <w:color w:val="C00000"/>
          <w:sz w:val="24"/>
          <w:szCs w:val="24"/>
        </w:rPr>
        <w:t>La grande novità di NGEU consiste nel fatto che si tratta di risorse prese in prestito dall’UE sui mercati finanziari, attraverso l’emissione di titoli. Dunque NGEU non “pesa” sui bilanci degli Stati membri o sul loro debito pubblico, perché i fondi vengono raccolti in modo autonomo dalla Commissione europea. Tuttavia, i prestiti vanno rimborsati: i fondi per rimborsare i debiti contratti verranno raccolti dalle istituzioni comunitarie.</w:t>
      </w:r>
    </w:p>
    <w:p w:rsidR="00C948F4" w:rsidRPr="00B23866" w:rsidRDefault="00C948F4" w:rsidP="00C948F4">
      <w:pPr>
        <w:pStyle w:val="Nessunaspaziatura"/>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lastRenderedPageBreak/>
        <w:t xml:space="preserve">Una parte del supporto NGEU è fornito sotto forma di prestiti agli Stati membri: per questa parte di supporto, gli Stati dovranno dunque rimborsare a loro volta l’Unione europea, a condizioni analoghe a quelle che avrà l’UE nei confronti dei possessori dei suoi titoli. </w:t>
      </w:r>
    </w:p>
    <w:p w:rsidR="00C948F4" w:rsidRPr="00B23866" w:rsidRDefault="00C948F4" w:rsidP="00C948F4">
      <w:pPr>
        <w:pStyle w:val="Nessunaspaziatura"/>
        <w:jc w:val="both"/>
        <w:rPr>
          <w:rFonts w:ascii="Times New Roman" w:hAnsi="Times New Roman" w:cs="Times New Roman"/>
          <w:b/>
          <w:bCs/>
          <w:color w:val="C00000"/>
          <w:sz w:val="24"/>
          <w:szCs w:val="24"/>
        </w:rPr>
      </w:pPr>
      <w:r w:rsidRPr="00B23866">
        <w:rPr>
          <w:rFonts w:ascii="Times New Roman" w:hAnsi="Times New Roman" w:cs="Times New Roman"/>
          <w:b/>
          <w:bCs/>
          <w:color w:val="C00000"/>
          <w:sz w:val="24"/>
          <w:szCs w:val="24"/>
        </w:rPr>
        <w:t xml:space="preserve">Quali benefici avranno tratto gli Stati membri da questa operazione? </w:t>
      </w:r>
    </w:p>
    <w:p w:rsidR="00C948F4" w:rsidRPr="00B23866" w:rsidRDefault="00C948F4" w:rsidP="00C948F4">
      <w:pPr>
        <w:pStyle w:val="Nessunaspaziatura"/>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Innanzitutto, la disponibilità di fondi senza un appesantimento immediato del loro debito pubblico; in secondo luogo, condizioni potenzialmente migliori di quelle che potrebbero ottenere loro stessi, in quanto il rating dell’UE è migliore di quello dei singoli Stati membri.</w:t>
      </w:r>
    </w:p>
    <w:p w:rsidR="00C948F4" w:rsidRPr="00B23866" w:rsidRDefault="00C948F4" w:rsidP="00C948F4">
      <w:pPr>
        <w:pStyle w:val="Nessunaspaziatura"/>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 xml:space="preserve">Una parte del supporto è invece fornito sotto forma di sovvenzioni: per questa parte del supporto si pone la questione dell’aumento delle risorse proprie, in quanto dovrà essere l’UE stessa a trovare le risorse per ripagare il debito.  La nuova decisione in merito alle risorse proprie dell’UE prevede infatti l’introduzione di una nuova risorsa, basata sulla quantità di rifiuti di imballaggio di plastica non riciclati in ciascuno Stato membro; e un aumento temporaneo del massimale delle risorse proprie esistenti. Viene inoltre progettato l’avvio del processo di introduzione di nuove risorse, che potranno essere basate: </w:t>
      </w:r>
    </w:p>
    <w:p w:rsidR="00C948F4" w:rsidRPr="00B23866" w:rsidRDefault="00C948F4" w:rsidP="00C948F4">
      <w:pPr>
        <w:pStyle w:val="Nessunaspaziatura"/>
        <w:numPr>
          <w:ilvl w:val="0"/>
          <w:numId w:val="14"/>
        </w:numPr>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 xml:space="preserve">sulle transazioni digitali, </w:t>
      </w:r>
    </w:p>
    <w:p w:rsidR="00C948F4" w:rsidRPr="00B23866" w:rsidRDefault="00C948F4" w:rsidP="00C948F4">
      <w:pPr>
        <w:pStyle w:val="Nessunaspaziatura"/>
        <w:numPr>
          <w:ilvl w:val="0"/>
          <w:numId w:val="14"/>
        </w:numPr>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 xml:space="preserve">sulle transazioni finanziarie, </w:t>
      </w:r>
    </w:p>
    <w:p w:rsidR="00C948F4" w:rsidRPr="00B23866" w:rsidRDefault="00C948F4" w:rsidP="00C948F4">
      <w:pPr>
        <w:pStyle w:val="Nessunaspaziatura"/>
        <w:numPr>
          <w:ilvl w:val="0"/>
          <w:numId w:val="14"/>
        </w:numPr>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 xml:space="preserve">su una “carbon tax” prelevata sulle merci in arrivo nell’UE, </w:t>
      </w:r>
    </w:p>
    <w:p w:rsidR="00C948F4" w:rsidRPr="00B23866" w:rsidRDefault="00C948F4" w:rsidP="00C948F4">
      <w:pPr>
        <w:pStyle w:val="Nessunaspaziatura"/>
        <w:numPr>
          <w:ilvl w:val="0"/>
          <w:numId w:val="14"/>
        </w:numPr>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 xml:space="preserve">sulle quote di emissione di CO2 </w:t>
      </w:r>
    </w:p>
    <w:p w:rsidR="00C948F4" w:rsidRPr="00B23866" w:rsidRDefault="00C948F4" w:rsidP="00C948F4">
      <w:pPr>
        <w:pStyle w:val="Nessunaspaziatura"/>
        <w:numPr>
          <w:ilvl w:val="0"/>
          <w:numId w:val="14"/>
        </w:numPr>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altro ancora.</w:t>
      </w:r>
    </w:p>
    <w:p w:rsidR="00C948F4" w:rsidRPr="00C3549F" w:rsidRDefault="00C948F4" w:rsidP="00C948F4">
      <w:pPr>
        <w:pStyle w:val="Nessunaspaziatura"/>
        <w:jc w:val="both"/>
        <w:rPr>
          <w:rFonts w:ascii="Times New Roman" w:hAnsi="Times New Roman" w:cs="Times New Roman"/>
          <w:b/>
          <w:bCs/>
          <w:sz w:val="24"/>
          <w:szCs w:val="24"/>
        </w:rPr>
      </w:pPr>
      <w:r w:rsidRPr="00C3549F">
        <w:rPr>
          <w:rFonts w:ascii="Times New Roman" w:hAnsi="Times New Roman" w:cs="Times New Roman"/>
          <w:b/>
          <w:bCs/>
          <w:sz w:val="24"/>
          <w:szCs w:val="24"/>
        </w:rPr>
        <w:t>Quali sono le condizioni per ottenere i fondi?</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Riassumiamo qui i punti principali, che si rifanno al principio ragionevole e condivisibile di un utilizzo virtuoso dei fondi:</w:t>
      </w:r>
    </w:p>
    <w:p w:rsidR="00C948F4" w:rsidRPr="00C3549F" w:rsidRDefault="00C948F4" w:rsidP="00C948F4">
      <w:pPr>
        <w:pStyle w:val="Nessunaspaziatura"/>
        <w:jc w:val="both"/>
        <w:rPr>
          <w:rFonts w:ascii="Times New Roman" w:hAnsi="Times New Roman" w:cs="Times New Roman"/>
          <w:b/>
          <w:bCs/>
          <w:i/>
          <w:iCs/>
          <w:sz w:val="24"/>
          <w:szCs w:val="24"/>
        </w:rPr>
      </w:pPr>
      <w:r w:rsidRPr="00C3549F">
        <w:rPr>
          <w:rFonts w:ascii="Times New Roman" w:hAnsi="Times New Roman" w:cs="Times New Roman"/>
          <w:b/>
          <w:bCs/>
          <w:i/>
          <w:iCs/>
          <w:sz w:val="24"/>
          <w:szCs w:val="24"/>
        </w:rPr>
        <w:t xml:space="preserve">Tempistica: </w:t>
      </w:r>
    </w:p>
    <w:p w:rsidR="00C948F4" w:rsidRPr="00B23866" w:rsidRDefault="00C948F4" w:rsidP="00C948F4">
      <w:pPr>
        <w:pStyle w:val="Nessunaspaziatura"/>
        <w:jc w:val="both"/>
        <w:rPr>
          <w:rFonts w:ascii="Times New Roman" w:hAnsi="Times New Roman" w:cs="Times New Roman"/>
          <w:color w:val="C00000"/>
          <w:sz w:val="24"/>
          <w:szCs w:val="24"/>
        </w:rPr>
      </w:pPr>
      <w:r w:rsidRPr="00B23866">
        <w:rPr>
          <w:rFonts w:ascii="Times New Roman" w:hAnsi="Times New Roman" w:cs="Times New Roman"/>
          <w:color w:val="C00000"/>
          <w:sz w:val="24"/>
          <w:szCs w:val="24"/>
        </w:rPr>
        <w:t>la totalità dei fondi dovrà essere impegnata entro la fine del 2023 e la totalità dei pagamenti effettuata entro la fine del 2026. Tempistiche e obiettivi previsti nei singoli piani nazionali dovranno essere rispettati e documentati;</w:t>
      </w:r>
    </w:p>
    <w:p w:rsidR="00C948F4" w:rsidRPr="00C3549F" w:rsidRDefault="00C948F4" w:rsidP="00C948F4">
      <w:pPr>
        <w:pStyle w:val="Nessunaspaziatura"/>
        <w:jc w:val="both"/>
        <w:rPr>
          <w:rFonts w:ascii="Times New Roman" w:hAnsi="Times New Roman" w:cs="Times New Roman"/>
          <w:b/>
          <w:bCs/>
          <w:i/>
          <w:iCs/>
          <w:sz w:val="24"/>
          <w:szCs w:val="24"/>
        </w:rPr>
      </w:pPr>
      <w:r w:rsidRPr="00C3549F">
        <w:rPr>
          <w:rFonts w:ascii="Times New Roman" w:hAnsi="Times New Roman" w:cs="Times New Roman"/>
          <w:b/>
          <w:bCs/>
          <w:i/>
          <w:iCs/>
          <w:sz w:val="24"/>
          <w:szCs w:val="24"/>
        </w:rPr>
        <w:t xml:space="preserve">Tematiche: </w:t>
      </w:r>
    </w:p>
    <w:p w:rsidR="00C948F4" w:rsidRPr="00CB7530" w:rsidRDefault="00C948F4" w:rsidP="00C948F4">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l’impiego dei fondi dovrà permettere (e dimostrare) un impatto duraturo in termini sociali, economici, ambientali ed includere riforme globali e un solido pacchetto di investimenti. </w:t>
      </w:r>
    </w:p>
    <w:p w:rsidR="007E24F0" w:rsidRPr="00CB7530" w:rsidRDefault="00C948F4" w:rsidP="00C948F4">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sz w:val="24"/>
          <w:szCs w:val="24"/>
        </w:rPr>
        <w:t>L’impiego dovrà concentrarsi su</w:t>
      </w:r>
      <w:r w:rsidR="007E24F0" w:rsidRPr="00CB7530">
        <w:rPr>
          <w:rFonts w:ascii="Times New Roman" w:hAnsi="Times New Roman" w:cs="Times New Roman"/>
          <w:i/>
          <w:iCs/>
          <w:sz w:val="24"/>
          <w:szCs w:val="24"/>
        </w:rPr>
        <w:t xml:space="preserve">budget), </w:t>
      </w:r>
    </w:p>
    <w:p w:rsidR="007E24F0" w:rsidRPr="00CB7530" w:rsidRDefault="007E24F0" w:rsidP="00C3549F">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i/>
          <w:iCs/>
          <w:sz w:val="24"/>
          <w:szCs w:val="24"/>
        </w:rPr>
        <w:t xml:space="preserve">trasformazione digitale (minimo 20%), </w:t>
      </w:r>
    </w:p>
    <w:p w:rsidR="007E24F0" w:rsidRPr="00CB7530" w:rsidRDefault="007E24F0" w:rsidP="00C3549F">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i/>
          <w:iCs/>
          <w:sz w:val="24"/>
          <w:szCs w:val="24"/>
        </w:rPr>
        <w:t xml:space="preserve">crescita intelligente, sostenibile e inclusiva, </w:t>
      </w:r>
    </w:p>
    <w:p w:rsidR="007E24F0" w:rsidRPr="00CB7530" w:rsidRDefault="007E24F0" w:rsidP="00C3549F">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i/>
          <w:iCs/>
          <w:sz w:val="24"/>
          <w:szCs w:val="24"/>
        </w:rPr>
        <w:t xml:space="preserve">coesione sociale e territoriale, </w:t>
      </w:r>
    </w:p>
    <w:p w:rsidR="007E24F0" w:rsidRPr="00CB7530" w:rsidRDefault="007E24F0" w:rsidP="00C3549F">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i/>
          <w:iCs/>
          <w:sz w:val="24"/>
          <w:szCs w:val="24"/>
        </w:rPr>
        <w:t xml:space="preserve">resilienza e preparazione alle crisi e politiche per le nuove generazioni, </w:t>
      </w:r>
    </w:p>
    <w:p w:rsidR="007E24F0" w:rsidRPr="00CB7530" w:rsidRDefault="007E24F0" w:rsidP="00C3549F">
      <w:pPr>
        <w:pStyle w:val="Nessunaspaziatura"/>
        <w:numPr>
          <w:ilvl w:val="0"/>
          <w:numId w:val="15"/>
        </w:numPr>
        <w:jc w:val="both"/>
        <w:rPr>
          <w:rFonts w:ascii="Times New Roman" w:hAnsi="Times New Roman" w:cs="Times New Roman"/>
          <w:i/>
          <w:iCs/>
          <w:sz w:val="24"/>
          <w:szCs w:val="24"/>
        </w:rPr>
      </w:pPr>
      <w:r w:rsidRPr="00CB7530">
        <w:rPr>
          <w:rFonts w:ascii="Times New Roman" w:hAnsi="Times New Roman" w:cs="Times New Roman"/>
          <w:i/>
          <w:iCs/>
          <w:sz w:val="24"/>
          <w:szCs w:val="24"/>
        </w:rPr>
        <w:t>istruzione e competenze;</w:t>
      </w:r>
    </w:p>
    <w:p w:rsidR="007E24F0" w:rsidRPr="00C3549F" w:rsidRDefault="007E24F0" w:rsidP="00CB7530">
      <w:pPr>
        <w:pStyle w:val="Nessunaspaziatura"/>
        <w:jc w:val="both"/>
        <w:rPr>
          <w:rFonts w:ascii="Times New Roman" w:hAnsi="Times New Roman" w:cs="Times New Roman"/>
          <w:b/>
          <w:bCs/>
          <w:i/>
          <w:iCs/>
          <w:sz w:val="24"/>
          <w:szCs w:val="24"/>
        </w:rPr>
      </w:pPr>
      <w:r w:rsidRPr="00C3549F">
        <w:rPr>
          <w:rFonts w:ascii="Times New Roman" w:hAnsi="Times New Roman" w:cs="Times New Roman"/>
          <w:b/>
          <w:bCs/>
          <w:i/>
          <w:iCs/>
          <w:sz w:val="24"/>
          <w:szCs w:val="24"/>
        </w:rPr>
        <w:t xml:space="preserve">Monitoraggio: </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l’uso dei fondi dovrà garantire la sostenibilità delle spese, l’adesione ai valori dell’UE e condizioni analoghe a quelle dei programmi comunitari</w:t>
      </w:r>
      <w:r w:rsidR="00C3549F">
        <w:rPr>
          <w:rFonts w:ascii="Times New Roman" w:hAnsi="Times New Roman" w:cs="Times New Roman"/>
          <w:sz w:val="24"/>
          <w:szCs w:val="24"/>
        </w:rPr>
        <w:t>, cioè</w:t>
      </w:r>
      <w:r w:rsidRPr="00CB7530">
        <w:rPr>
          <w:rFonts w:ascii="Times New Roman" w:hAnsi="Times New Roman" w:cs="Times New Roman"/>
          <w:sz w:val="24"/>
          <w:szCs w:val="24"/>
        </w:rPr>
        <w:t xml:space="preserve">: </w:t>
      </w:r>
    </w:p>
    <w:p w:rsidR="007E24F0" w:rsidRPr="00CB7530" w:rsidRDefault="007E24F0" w:rsidP="00CB7530">
      <w:pPr>
        <w:pStyle w:val="Nessunaspaziatura"/>
        <w:jc w:val="both"/>
        <w:rPr>
          <w:rFonts w:ascii="Times New Roman" w:hAnsi="Times New Roman" w:cs="Times New Roman"/>
          <w:i/>
          <w:iCs/>
          <w:sz w:val="24"/>
          <w:szCs w:val="24"/>
        </w:rPr>
      </w:pPr>
      <w:r w:rsidRPr="00CB7530">
        <w:rPr>
          <w:rFonts w:ascii="Times New Roman" w:hAnsi="Times New Roman" w:cs="Times New Roman"/>
          <w:i/>
          <w:iCs/>
          <w:sz w:val="24"/>
          <w:szCs w:val="24"/>
        </w:rPr>
        <w:t>pertinenza, efficacia, efficienza, coerenza, sostenibilità, monitoraggio e reportistica.</w:t>
      </w:r>
    </w:p>
    <w:p w:rsidR="007E24F0" w:rsidRPr="007A153A" w:rsidRDefault="007E24F0" w:rsidP="00CB7530">
      <w:pPr>
        <w:pStyle w:val="Nessunaspaziatura"/>
        <w:jc w:val="both"/>
        <w:rPr>
          <w:rFonts w:ascii="Times New Roman" w:hAnsi="Times New Roman" w:cs="Times New Roman"/>
          <w:b/>
          <w:bCs/>
          <w:i/>
          <w:iCs/>
          <w:sz w:val="24"/>
          <w:szCs w:val="24"/>
        </w:rPr>
      </w:pPr>
      <w:r w:rsidRPr="007A153A">
        <w:rPr>
          <w:rFonts w:ascii="Times New Roman" w:hAnsi="Times New Roman" w:cs="Times New Roman"/>
          <w:b/>
          <w:bCs/>
          <w:i/>
          <w:iCs/>
          <w:sz w:val="24"/>
          <w:szCs w:val="24"/>
        </w:rPr>
        <w:t>Cosa contiene e cosa potrebbe cambiare?</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E’ stato pubblicato a gennaio il Piano Nazionale di Ripresa e Resilienza (PNRR), che definisce, a livello nazionale, contenuti e modalità di esecuzione di NGEU. Riprendiamo qui le sei aree tematiche o missioni: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Digitalizzazione, innovazione competitività e cultura (45 mld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Rivoluzione verde e transizione ecologica (68 mld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Infrastrutture per una mobilità sostenibile (30 mld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Istruzione e ricerca (25 mld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Parità di genere, coesione sociale e territoriale (19 mld €)</w:t>
      </w:r>
    </w:p>
    <w:p w:rsidR="007E24F0" w:rsidRPr="00CB7530" w:rsidRDefault="007E24F0" w:rsidP="007A153A">
      <w:pPr>
        <w:pStyle w:val="Nessunaspaziatura"/>
        <w:numPr>
          <w:ilvl w:val="0"/>
          <w:numId w:val="16"/>
        </w:numPr>
        <w:jc w:val="both"/>
        <w:rPr>
          <w:rFonts w:ascii="Times New Roman" w:hAnsi="Times New Roman" w:cs="Times New Roman"/>
          <w:i/>
          <w:iCs/>
          <w:sz w:val="24"/>
          <w:szCs w:val="24"/>
        </w:rPr>
      </w:pPr>
      <w:r w:rsidRPr="00CB7530">
        <w:rPr>
          <w:rFonts w:ascii="Times New Roman" w:hAnsi="Times New Roman" w:cs="Times New Roman"/>
          <w:i/>
          <w:iCs/>
          <w:sz w:val="24"/>
          <w:szCs w:val="24"/>
        </w:rPr>
        <w:t>Salute (15 mld €)</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lastRenderedPageBreak/>
        <w:t xml:space="preserve">Gli impegni sopra indicati sono una stima, puramente indicativa, basata sugli ultimi documenti di dicembre e gennaio. I cambiamenti politici avvenuti nelle ultime settimane implicano un cambiamento del Piano, delle sue priorità e dei suoi interventi, ancora difficili da prevedere con certezza. Tuttavia, le recenti dichiarazioni programmatiche del Presidente Draghi al Senato forniscono una chiave di lettura molto interessante. </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Ne citiamo alcuni stralci significativi:</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Focus sulla componente “sovvenzioni” e utilizzo attento della componente “prestiti”, che comporterà in ultima analisi un aumento della spesa pubblica:</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La quota di prestiti aggiuntivi, che saranno richiesti tramite la principale componente del programma: “Strumento per la ripresa e resilienza”, dovrà essere modulata in base agli obiettivi di finanza pubblica</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Mantenimento delle attuali grandi aree tematiche del PNRR (citate qui sopra):</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Il precedente Governo ha già svolto una grande mole di lavoro sul Programma di ripresa e resilienza (PNRR)</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Le Missioni del Programma potranno essere rimodulate e riaccorpate, ma resteranno quelle enunciate nei precedenti documenti del Governo uscente</w:t>
      </w:r>
      <w:r w:rsidR="007A153A">
        <w:rPr>
          <w:rFonts w:ascii="Times New Roman" w:hAnsi="Times New Roman" w:cs="Times New Roman"/>
          <w:sz w:val="24"/>
          <w:szCs w:val="24"/>
        </w:rPr>
        <w:t xml:space="preserve"> </w:t>
      </w:r>
      <w:r w:rsidRPr="00CB7530">
        <w:rPr>
          <w:rFonts w:ascii="Times New Roman" w:hAnsi="Times New Roman" w:cs="Times New Roman"/>
          <w:sz w:val="24"/>
          <w:szCs w:val="24"/>
        </w:rPr>
        <w:t>Maggiore attenzione alla componente ambientale e infrastrutturale del PNRR. Il Next generation EU prevede riforme. Alcune riguardano problemi aperti da decenni, come:</w:t>
      </w:r>
    </w:p>
    <w:p w:rsidR="007E24F0" w:rsidRPr="00CB7530" w:rsidRDefault="007E24F0" w:rsidP="007A153A">
      <w:pPr>
        <w:pStyle w:val="Nessunaspaziatura"/>
        <w:numPr>
          <w:ilvl w:val="0"/>
          <w:numId w:val="17"/>
        </w:numPr>
        <w:jc w:val="both"/>
        <w:rPr>
          <w:rFonts w:ascii="Times New Roman" w:hAnsi="Times New Roman" w:cs="Times New Roman"/>
          <w:sz w:val="24"/>
          <w:szCs w:val="24"/>
        </w:rPr>
      </w:pPr>
      <w:r w:rsidRPr="00CB7530">
        <w:rPr>
          <w:rFonts w:ascii="Times New Roman" w:hAnsi="Times New Roman" w:cs="Times New Roman"/>
          <w:sz w:val="24"/>
          <w:szCs w:val="24"/>
        </w:rPr>
        <w:t>la certezza delle norme e dei piani di investimento pubblico</w:t>
      </w:r>
    </w:p>
    <w:p w:rsidR="007E24F0" w:rsidRPr="00CB7530" w:rsidRDefault="007E24F0" w:rsidP="007A153A">
      <w:pPr>
        <w:pStyle w:val="Nessunaspaziatura"/>
        <w:numPr>
          <w:ilvl w:val="0"/>
          <w:numId w:val="17"/>
        </w:numPr>
        <w:jc w:val="both"/>
        <w:rPr>
          <w:rFonts w:ascii="Times New Roman" w:hAnsi="Times New Roman" w:cs="Times New Roman"/>
          <w:sz w:val="24"/>
          <w:szCs w:val="24"/>
        </w:rPr>
      </w:pPr>
      <w:r w:rsidRPr="00CB7530">
        <w:rPr>
          <w:rFonts w:ascii="Times New Roman" w:hAnsi="Times New Roman" w:cs="Times New Roman"/>
          <w:sz w:val="24"/>
          <w:szCs w:val="24"/>
        </w:rPr>
        <w:t>il sistema tributario</w:t>
      </w:r>
    </w:p>
    <w:p w:rsidR="007E24F0" w:rsidRPr="00CB7530" w:rsidRDefault="007E24F0" w:rsidP="007A153A">
      <w:pPr>
        <w:pStyle w:val="Nessunaspaziatura"/>
        <w:numPr>
          <w:ilvl w:val="0"/>
          <w:numId w:val="17"/>
        </w:numPr>
        <w:jc w:val="both"/>
        <w:rPr>
          <w:rFonts w:ascii="Times New Roman" w:hAnsi="Times New Roman" w:cs="Times New Roman"/>
          <w:sz w:val="24"/>
          <w:szCs w:val="24"/>
        </w:rPr>
      </w:pPr>
      <w:r w:rsidRPr="00CB7530">
        <w:rPr>
          <w:rFonts w:ascii="Times New Roman" w:hAnsi="Times New Roman" w:cs="Times New Roman"/>
          <w:sz w:val="24"/>
          <w:szCs w:val="24"/>
        </w:rPr>
        <w:t>la pubblica amministrazione</w:t>
      </w:r>
    </w:p>
    <w:p w:rsidR="007E24F0" w:rsidRPr="00CB7530" w:rsidRDefault="007E24F0" w:rsidP="007A153A">
      <w:pPr>
        <w:pStyle w:val="Nessunaspaziatura"/>
        <w:numPr>
          <w:ilvl w:val="0"/>
          <w:numId w:val="17"/>
        </w:numPr>
        <w:jc w:val="both"/>
        <w:rPr>
          <w:rFonts w:ascii="Times New Roman" w:hAnsi="Times New Roman" w:cs="Times New Roman"/>
          <w:sz w:val="24"/>
          <w:szCs w:val="24"/>
        </w:rPr>
      </w:pPr>
      <w:r w:rsidRPr="00CB7530">
        <w:rPr>
          <w:rFonts w:ascii="Times New Roman" w:hAnsi="Times New Roman" w:cs="Times New Roman"/>
          <w:sz w:val="24"/>
          <w:szCs w:val="24"/>
        </w:rPr>
        <w:t>riforma del sistema giudiziario</w:t>
      </w:r>
    </w:p>
    <w:p w:rsidR="007E24F0" w:rsidRPr="00CB7530" w:rsidRDefault="007A153A" w:rsidP="007A153A">
      <w:pPr>
        <w:pStyle w:val="Nessunaspaziatura"/>
        <w:numPr>
          <w:ilvl w:val="0"/>
          <w:numId w:val="17"/>
        </w:numPr>
        <w:jc w:val="both"/>
        <w:rPr>
          <w:rFonts w:ascii="Times New Roman" w:hAnsi="Times New Roman" w:cs="Times New Roman"/>
          <w:sz w:val="24"/>
          <w:szCs w:val="24"/>
        </w:rPr>
      </w:pPr>
      <w:r>
        <w:rPr>
          <w:rFonts w:ascii="Times New Roman" w:hAnsi="Times New Roman" w:cs="Times New Roman"/>
          <w:sz w:val="24"/>
          <w:szCs w:val="24"/>
        </w:rPr>
        <w:t>c</w:t>
      </w:r>
      <w:r w:rsidR="007E24F0" w:rsidRPr="00CB7530">
        <w:rPr>
          <w:rFonts w:ascii="Times New Roman" w:hAnsi="Times New Roman" w:cs="Times New Roman"/>
          <w:sz w:val="24"/>
          <w:szCs w:val="24"/>
        </w:rPr>
        <w:t>ooperazione con il terzo settore, con il settore privato e uso dei fondi come “leva”</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Il ruolo dello Stato e il perimetro dei suoi interventi dovranno essere valutati con attenzione</w:t>
      </w:r>
      <w:r w:rsidR="007A153A">
        <w:rPr>
          <w:rFonts w:ascii="Times New Roman" w:hAnsi="Times New Roman" w:cs="Times New Roman"/>
          <w:sz w:val="24"/>
          <w:szCs w:val="24"/>
        </w:rPr>
        <w:t>, così pure</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il ruolo del terzo settore e del contributo dei privati al Programma Nazionale di Ripresa e Resilienza attraverso i meccanismi di finanziamento a leva (fondo dei fondi)</w:t>
      </w:r>
      <w:r w:rsidR="007A153A">
        <w:rPr>
          <w:rFonts w:ascii="Times New Roman" w:hAnsi="Times New Roman" w:cs="Times New Roman"/>
          <w:sz w:val="24"/>
          <w:szCs w:val="24"/>
        </w:rPr>
        <w:t>. C</w:t>
      </w:r>
      <w:r w:rsidRPr="00CB7530">
        <w:rPr>
          <w:rFonts w:ascii="Times New Roman" w:hAnsi="Times New Roman" w:cs="Times New Roman"/>
          <w:sz w:val="24"/>
          <w:szCs w:val="24"/>
        </w:rPr>
        <w:t xml:space="preserve">ompito dello Stato è </w:t>
      </w:r>
      <w:r w:rsidR="007A153A">
        <w:rPr>
          <w:rFonts w:ascii="Times New Roman" w:hAnsi="Times New Roman" w:cs="Times New Roman"/>
          <w:sz w:val="24"/>
          <w:szCs w:val="24"/>
        </w:rPr>
        <w:t xml:space="preserve">quello di </w:t>
      </w:r>
      <w:r w:rsidRPr="00CB7530">
        <w:rPr>
          <w:rFonts w:ascii="Times New Roman" w:hAnsi="Times New Roman" w:cs="Times New Roman"/>
          <w:sz w:val="24"/>
          <w:szCs w:val="24"/>
        </w:rPr>
        <w:t>utilizzare le leve della spesa per ricerca e sviluppo, dell’istruzione e della formazione, della regolamentazione, dell’incentivazione e della tassazione.</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La governance del Programma di ripresa e resilienza è incardinata nel Ministero dell’Economia e Finanza, con la strettissima collaborazione dei Ministeri competenti che definiscono le politiche e i progetti di settore. Il Parlamento verrà costantemente informato sia sull’impianto complessivo, sia sulle politiche di settore</w:t>
      </w:r>
    </w:p>
    <w:p w:rsidR="007E24F0" w:rsidRPr="007A153A" w:rsidRDefault="007E24F0" w:rsidP="00CB7530">
      <w:pPr>
        <w:pStyle w:val="Nessunaspaziatura"/>
        <w:jc w:val="both"/>
        <w:rPr>
          <w:rFonts w:ascii="Times New Roman" w:hAnsi="Times New Roman" w:cs="Times New Roman"/>
          <w:b/>
          <w:bCs/>
          <w:sz w:val="24"/>
          <w:szCs w:val="24"/>
        </w:rPr>
      </w:pPr>
      <w:r w:rsidRPr="007A153A">
        <w:rPr>
          <w:rFonts w:ascii="Times New Roman" w:hAnsi="Times New Roman" w:cs="Times New Roman"/>
          <w:b/>
          <w:bCs/>
          <w:sz w:val="24"/>
          <w:szCs w:val="24"/>
        </w:rPr>
        <w:t>C’è spazio per bandi e progetti?</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Sì, c’è sicuramente spazio per bandi che stimolino la progettualità e le iniziative del settore privato e del terzo settore, come già chiarito nella domanda precedente. Inoltre questo risulta evidente dall’analisi della bozza di gennaio del PNRR, che sarà la base per l’elaborazione delle successive versioni: alcuni degli interventi menzionati non potranno essere realizzati se non attraverso bandi che coinvolgeranno imprese, associazioni e organizzazioni del nostro paese e dei nostri territori. La parola “progetti/progetto” ricorre 229 volte nelle 179 pagine della bozza di PNRR di gennaio.</w:t>
      </w:r>
      <w:r w:rsidR="007A153A">
        <w:rPr>
          <w:rFonts w:ascii="Times New Roman" w:hAnsi="Times New Roman" w:cs="Times New Roman"/>
          <w:sz w:val="24"/>
          <w:szCs w:val="24"/>
        </w:rPr>
        <w:t xml:space="preserve"> </w:t>
      </w:r>
      <w:r w:rsidRPr="00CB7530">
        <w:rPr>
          <w:rFonts w:ascii="Times New Roman" w:hAnsi="Times New Roman" w:cs="Times New Roman"/>
          <w:sz w:val="24"/>
          <w:szCs w:val="24"/>
        </w:rPr>
        <w:t>Tuttavia, è ancora difficile prevedere la proporzione di tali bandi e progetti per area tematica, perché per sua natura, il PNRR prevederà anche altri tipi di interventi, quali, in particolare:</w:t>
      </w:r>
    </w:p>
    <w:p w:rsidR="007E24F0" w:rsidRPr="00CB7530" w:rsidRDefault="007E24F0" w:rsidP="007A153A">
      <w:pPr>
        <w:pStyle w:val="Nessunaspaziatura"/>
        <w:numPr>
          <w:ilvl w:val="0"/>
          <w:numId w:val="18"/>
        </w:numPr>
        <w:jc w:val="both"/>
        <w:rPr>
          <w:rFonts w:ascii="Times New Roman" w:hAnsi="Times New Roman" w:cs="Times New Roman"/>
          <w:sz w:val="24"/>
          <w:szCs w:val="24"/>
        </w:rPr>
      </w:pPr>
      <w:r w:rsidRPr="00CB7530">
        <w:rPr>
          <w:rFonts w:ascii="Times New Roman" w:hAnsi="Times New Roman" w:cs="Times New Roman"/>
          <w:sz w:val="24"/>
          <w:szCs w:val="24"/>
        </w:rPr>
        <w:t xml:space="preserve">iniziative, spese e investimenti realizzati direttamente dal settore pubblico (in particolare dai Ministeri componenti, ma anche Enti Locali), </w:t>
      </w:r>
    </w:p>
    <w:p w:rsidR="007E24F0" w:rsidRPr="00CB7530" w:rsidRDefault="007E24F0" w:rsidP="007A153A">
      <w:pPr>
        <w:pStyle w:val="Nessunaspaziatura"/>
        <w:numPr>
          <w:ilvl w:val="0"/>
          <w:numId w:val="18"/>
        </w:numPr>
        <w:jc w:val="both"/>
        <w:rPr>
          <w:rFonts w:ascii="Times New Roman" w:hAnsi="Times New Roman" w:cs="Times New Roman"/>
          <w:sz w:val="24"/>
          <w:szCs w:val="24"/>
        </w:rPr>
      </w:pPr>
      <w:r w:rsidRPr="00CB7530">
        <w:rPr>
          <w:rFonts w:ascii="Times New Roman" w:hAnsi="Times New Roman" w:cs="Times New Roman"/>
          <w:sz w:val="24"/>
          <w:szCs w:val="24"/>
        </w:rPr>
        <w:t xml:space="preserve">sovvenzioni e incentivi specifici destinati a determinati settori, attività e categorie, </w:t>
      </w:r>
    </w:p>
    <w:p w:rsidR="007E24F0" w:rsidRPr="00CB7530" w:rsidRDefault="007E24F0" w:rsidP="007A153A">
      <w:pPr>
        <w:pStyle w:val="Nessunaspaziatura"/>
        <w:numPr>
          <w:ilvl w:val="0"/>
          <w:numId w:val="18"/>
        </w:numPr>
        <w:jc w:val="both"/>
        <w:rPr>
          <w:rFonts w:ascii="Times New Roman" w:hAnsi="Times New Roman" w:cs="Times New Roman"/>
          <w:sz w:val="24"/>
          <w:szCs w:val="24"/>
        </w:rPr>
      </w:pPr>
      <w:r w:rsidRPr="00CB7530">
        <w:rPr>
          <w:rFonts w:ascii="Times New Roman" w:hAnsi="Times New Roman" w:cs="Times New Roman"/>
          <w:sz w:val="24"/>
          <w:szCs w:val="24"/>
        </w:rPr>
        <w:t>fondi di garanzia, strumenti finanziari e “fondi di fondi” destinati a finanziare determinati settori produttivi.</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È anche difficile prevedere, in questa fase, le modalità in cui eventuali bandi verranno lanciati ed assegnati, ma nelle grandi linee, ci si possono aspettare meccanismi simili a quelli degli attuali </w:t>
      </w:r>
      <w:r w:rsidRPr="00CB7530">
        <w:rPr>
          <w:rFonts w:ascii="Times New Roman" w:hAnsi="Times New Roman" w:cs="Times New Roman"/>
          <w:sz w:val="24"/>
          <w:szCs w:val="24"/>
        </w:rPr>
        <w:lastRenderedPageBreak/>
        <w:t>Programmi Operativi Nazionali (PON) – con cui, tra l’altro, il PNRR si pone, per sua natura, in piena sinergia.</w:t>
      </w:r>
    </w:p>
    <w:p w:rsidR="007E24F0" w:rsidRPr="007A153A" w:rsidRDefault="007E24F0" w:rsidP="00CB7530">
      <w:pPr>
        <w:pStyle w:val="Nessunaspaziatura"/>
        <w:jc w:val="both"/>
        <w:rPr>
          <w:rFonts w:ascii="Times New Roman" w:hAnsi="Times New Roman" w:cs="Times New Roman"/>
          <w:b/>
          <w:bCs/>
          <w:sz w:val="24"/>
          <w:szCs w:val="24"/>
        </w:rPr>
      </w:pPr>
      <w:r w:rsidRPr="007A153A">
        <w:rPr>
          <w:rFonts w:ascii="Times New Roman" w:hAnsi="Times New Roman" w:cs="Times New Roman"/>
          <w:b/>
          <w:bCs/>
          <w:sz w:val="24"/>
          <w:szCs w:val="24"/>
        </w:rPr>
        <w:t>Chi gestisce i fondi?</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La visione attuale sembra portare verso una struttura più classica, per quanto ancora da definire nei suoi aspetti operativi: un ruolo-guida del Ministero dell’Economia e Finanza, con la strettissima collaborazione dei Ministeri competenti e con una costante informazione nei confronti del Parlamento. Questa visione di governance sembra portare a modalità operative non troppo dissimili da quelle dei PON (Piani Operativi Nazionali), con un possibile ruolo di Regioni e Comuni ed altri Enti Locali e del territorio, che chiedono un coinvolgimento nella gestione dei fondi.</w:t>
      </w:r>
    </w:p>
    <w:p w:rsidR="007E24F0" w:rsidRPr="007A153A" w:rsidRDefault="007E24F0" w:rsidP="00CB7530">
      <w:pPr>
        <w:pStyle w:val="Nessunaspaziatura"/>
        <w:jc w:val="both"/>
        <w:rPr>
          <w:rFonts w:ascii="Times New Roman" w:hAnsi="Times New Roman" w:cs="Times New Roman"/>
          <w:b/>
          <w:bCs/>
          <w:sz w:val="24"/>
          <w:szCs w:val="24"/>
        </w:rPr>
      </w:pPr>
      <w:r w:rsidRPr="007A153A">
        <w:rPr>
          <w:rFonts w:ascii="Times New Roman" w:hAnsi="Times New Roman" w:cs="Times New Roman"/>
          <w:b/>
          <w:bCs/>
          <w:sz w:val="24"/>
          <w:szCs w:val="24"/>
        </w:rPr>
        <w:t>Quale sarà l’impatto?</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Questa è la grande domanda cui tutti, dai singoli cittadini ai livelli più altri delle istituzioni nazionali ed europee, cercano oggi una risposta. Possiamo riprendere le parole conclusive del discorso al Senato del Presidente del Consiglio, che punta: </w:t>
      </w:r>
    </w:p>
    <w:p w:rsidR="007E24F0" w:rsidRPr="00CB7530" w:rsidRDefault="007E24F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“sullo spirito di sacrificio con cui donne e uomini hanno affrontato l’ultimo anno, sul loro vibrante desiderio di rinascere, di tornare più forti e sull’entusiasmo dei giovani che vogliono un Paese capace di realizzare i loro sogni”.</w:t>
      </w:r>
    </w:p>
    <w:p w:rsidR="007E24F0" w:rsidRPr="00CB7530" w:rsidRDefault="007E24F0" w:rsidP="00CB7530">
      <w:pPr>
        <w:pStyle w:val="Nessunaspaziatura"/>
        <w:jc w:val="both"/>
        <w:rPr>
          <w:rFonts w:ascii="Times New Roman" w:hAnsi="Times New Roman" w:cs="Times New Roman"/>
          <w:sz w:val="24"/>
          <w:szCs w:val="24"/>
        </w:rPr>
      </w:pP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PE: via un altro ostacolo al Fondo UE di ripresa post COVID-19</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25-03-2021 - 19:40 </w:t>
      </w:r>
      <w:hyperlink r:id="rId61" w:tgtFrame="_blank" w:tooltip="Condividi la pagina su Whatsapp" w:history="1">
        <w:r w:rsidRPr="00CB7530">
          <w:rPr>
            <w:rStyle w:val="Collegamentoipertestuale"/>
            <w:rFonts w:ascii="Times New Roman" w:hAnsi="Times New Roman" w:cs="Times New Roman"/>
            <w:sz w:val="24"/>
            <w:szCs w:val="24"/>
          </w:rPr>
          <w:t> </w:t>
        </w:r>
      </w:hyperlink>
    </w:p>
    <w:p w:rsidR="008258D2" w:rsidRPr="00CB7530" w:rsidRDefault="0086067C" w:rsidP="00CB7530">
      <w:pPr>
        <w:pStyle w:val="Nessunaspaziatura"/>
        <w:jc w:val="both"/>
        <w:rPr>
          <w:rStyle w:val="Collegamentoipertestuale"/>
          <w:rFonts w:ascii="Times New Roman" w:hAnsi="Times New Roman" w:cs="Times New Roman"/>
          <w:sz w:val="24"/>
          <w:szCs w:val="24"/>
        </w:rPr>
      </w:pPr>
      <w:r w:rsidRPr="00CB7530">
        <w:rPr>
          <w:rFonts w:ascii="Times New Roman" w:hAnsi="Times New Roman" w:cs="Times New Roman"/>
          <w:sz w:val="24"/>
          <w:szCs w:val="24"/>
        </w:rPr>
        <w:fldChar w:fldCharType="begin"/>
      </w:r>
      <w:r w:rsidR="008258D2" w:rsidRPr="00CB7530">
        <w:rPr>
          <w:rFonts w:ascii="Times New Roman" w:hAnsi="Times New Roman" w:cs="Times New Roman"/>
          <w:sz w:val="24"/>
          <w:szCs w:val="24"/>
        </w:rPr>
        <w:instrText xml:space="preserve"> HYPERLINK "https://www.europarl.europa.eu/resources/library/images/20210323PHT00648/20210323PHT00648_original.jpg" \o "Apri in un'altra finestra" \t "_blank" </w:instrText>
      </w:r>
      <w:r w:rsidRPr="00CB7530">
        <w:rPr>
          <w:rFonts w:ascii="Times New Roman" w:hAnsi="Times New Roman" w:cs="Times New Roman"/>
          <w:sz w:val="24"/>
          <w:szCs w:val="24"/>
        </w:rPr>
        <w:fldChar w:fldCharType="separate"/>
      </w:r>
    </w:p>
    <w:p w:rsidR="008258D2" w:rsidRPr="00CB7530" w:rsidRDefault="008258D2" w:rsidP="00CB7530">
      <w:pPr>
        <w:pStyle w:val="Nessunaspaziatura"/>
        <w:jc w:val="both"/>
        <w:rPr>
          <w:rStyle w:val="Collegamentoipertestuale"/>
          <w:rFonts w:ascii="Times New Roman" w:hAnsi="Times New Roman" w:cs="Times New Roman"/>
          <w:sz w:val="24"/>
          <w:szCs w:val="24"/>
        </w:rPr>
      </w:pPr>
      <w:r w:rsidRPr="00CB7530">
        <w:rPr>
          <w:rStyle w:val="Collegamentoipertestuale"/>
          <w:rFonts w:ascii="Times New Roman" w:hAnsi="Times New Roman" w:cs="Times New Roman"/>
          <w:noProof/>
          <w:sz w:val="24"/>
          <w:szCs w:val="24"/>
          <w:lang w:eastAsia="it-IT"/>
        </w:rPr>
        <w:drawing>
          <wp:inline distT="0" distB="0" distL="0" distR="0">
            <wp:extent cx="6120130" cy="3966845"/>
            <wp:effectExtent l="0" t="0" r="0" b="0"/>
            <wp:docPr id="1" name="Immagine 1" descr="13 EU countries of 27 have so far ratified the Own Resources decision (as of 18 March). The Own Resources Decision is the law that would enable the European Commission to borrow and direct funds to the recovery.">
              <a:hlinkClick xmlns:a="http://schemas.openxmlformats.org/drawingml/2006/main" r:id="rId62" tgtFrame="&quot;_blank&quot;" tooltip="&quot;Apri in un'altra finest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EU countries of 27 have so far ratified the Own Resources decision (as of 18 March). The Own Resources Decision is the law that would enable the European Commission to borrow and direct funds to the recovery.">
                      <a:hlinkClick r:id="rId62" tgtFrame="&quot;_blank&quot;" tooltip="&quot;Apri in un'altra finestra&quot;"/>
                    </pic:cNvPr>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966845"/>
                    </a:xfrm>
                    <a:prstGeom prst="rect">
                      <a:avLst/>
                    </a:prstGeom>
                    <a:noFill/>
                    <a:ln>
                      <a:noFill/>
                    </a:ln>
                  </pic:spPr>
                </pic:pic>
              </a:graphicData>
            </a:graphic>
          </wp:inline>
        </w:drawing>
      </w:r>
    </w:p>
    <w:p w:rsidR="008258D2" w:rsidRPr="00CB7530" w:rsidRDefault="0086067C"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fldChar w:fldCharType="end"/>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Al 18 marzo 2021, 13 su 27 paesi UE hanno ratificato la legge che istituirà il Fondo per la ripresa" </w:t>
      </w:r>
    </w:p>
    <w:p w:rsidR="008258D2" w:rsidRPr="00CB7530" w:rsidRDefault="008258D2" w:rsidP="00CB7530">
      <w:pPr>
        <w:pStyle w:val="Nessunaspaziatura"/>
        <w:jc w:val="both"/>
        <w:rPr>
          <w:rFonts w:ascii="Times New Roman" w:hAnsi="Times New Roman" w:cs="Times New Roman"/>
          <w:sz w:val="24"/>
          <w:szCs w:val="24"/>
        </w:rPr>
      </w:pP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Il Parlamento accelera la riforma delle entrate dell'UE per consentire l'utilizzo del Fondo "Next Generation EU"</w:t>
      </w:r>
    </w:p>
    <w:p w:rsidR="008258D2" w:rsidRPr="00CB7530" w:rsidRDefault="00B73899" w:rsidP="00CB7530">
      <w:pPr>
        <w:pStyle w:val="Nessunaspaziatura"/>
        <w:jc w:val="both"/>
        <w:rPr>
          <w:rFonts w:ascii="Times New Roman" w:hAnsi="Times New Roman" w:cs="Times New Roman"/>
          <w:sz w:val="24"/>
          <w:szCs w:val="24"/>
        </w:rPr>
      </w:pPr>
      <w:r>
        <w:rPr>
          <w:rFonts w:ascii="Times New Roman" w:hAnsi="Times New Roman" w:cs="Times New Roman"/>
          <w:sz w:val="24"/>
          <w:szCs w:val="24"/>
        </w:rPr>
        <w:t>Decide n</w:t>
      </w:r>
      <w:r w:rsidR="008258D2" w:rsidRPr="00CB7530">
        <w:rPr>
          <w:rFonts w:ascii="Times New Roman" w:hAnsi="Times New Roman" w:cs="Times New Roman"/>
          <w:sz w:val="24"/>
          <w:szCs w:val="24"/>
        </w:rPr>
        <w:t>uove fonti di entrate, come l'imposta sulla plastica, per il bilancio UE e per contribuire al rimborso del debito generato dal Fondo</w:t>
      </w:r>
      <w:r>
        <w:rPr>
          <w:rFonts w:ascii="Times New Roman" w:hAnsi="Times New Roman" w:cs="Times New Roman"/>
          <w:sz w:val="24"/>
          <w:szCs w:val="24"/>
        </w:rPr>
        <w:t xml:space="preserve">. </w:t>
      </w:r>
      <w:r w:rsidR="008258D2" w:rsidRPr="00CB7530">
        <w:rPr>
          <w:rFonts w:ascii="Times New Roman" w:hAnsi="Times New Roman" w:cs="Times New Roman"/>
          <w:sz w:val="24"/>
          <w:szCs w:val="24"/>
        </w:rPr>
        <w:t>I paesi dell'UE devono ratificare il prima possibile la "decisione relativa alle risorse proprie"</w:t>
      </w:r>
    </w:p>
    <w:p w:rsidR="008258D2" w:rsidRPr="00B23866" w:rsidRDefault="008258D2" w:rsidP="00CB7530">
      <w:pPr>
        <w:pStyle w:val="Nessunaspaziatura"/>
        <w:jc w:val="both"/>
        <w:rPr>
          <w:rFonts w:ascii="Times New Roman" w:hAnsi="Times New Roman" w:cs="Times New Roman"/>
          <w:sz w:val="24"/>
          <w:szCs w:val="24"/>
        </w:rPr>
      </w:pPr>
      <w:r w:rsidRPr="00B23866">
        <w:rPr>
          <w:rFonts w:ascii="Times New Roman" w:hAnsi="Times New Roman" w:cs="Times New Roman"/>
          <w:sz w:val="24"/>
          <w:szCs w:val="24"/>
        </w:rPr>
        <w:lastRenderedPageBreak/>
        <w:t>Il PE ha approvato giovedì tre leggi sull'istituzione del sistema delle risorse proprie dell'UE, aprendo la via alla riforma e all'introduzione di nuove fonti di entrate per l'Unione.</w:t>
      </w:r>
    </w:p>
    <w:p w:rsidR="008258D2" w:rsidRPr="00B23866" w:rsidRDefault="00B73899" w:rsidP="00CB7530">
      <w:pPr>
        <w:pStyle w:val="Nessunaspaziatura"/>
        <w:jc w:val="both"/>
        <w:rPr>
          <w:rFonts w:ascii="Times New Roman" w:hAnsi="Times New Roman" w:cs="Times New Roman"/>
          <w:sz w:val="24"/>
          <w:szCs w:val="24"/>
        </w:rPr>
      </w:pPr>
      <w:r w:rsidRPr="00B23866">
        <w:rPr>
          <w:rFonts w:ascii="Times New Roman" w:hAnsi="Times New Roman" w:cs="Times New Roman"/>
          <w:sz w:val="24"/>
          <w:szCs w:val="24"/>
        </w:rPr>
        <w:t>I</w:t>
      </w:r>
      <w:r w:rsidR="008258D2" w:rsidRPr="00B23866">
        <w:rPr>
          <w:rFonts w:ascii="Times New Roman" w:hAnsi="Times New Roman" w:cs="Times New Roman"/>
          <w:sz w:val="24"/>
          <w:szCs w:val="24"/>
        </w:rPr>
        <w:t xml:space="preserve">l Parlamento </w:t>
      </w:r>
      <w:r w:rsidRPr="00B23866">
        <w:rPr>
          <w:rFonts w:ascii="Times New Roman" w:hAnsi="Times New Roman" w:cs="Times New Roman"/>
          <w:sz w:val="24"/>
          <w:szCs w:val="24"/>
        </w:rPr>
        <w:t xml:space="preserve">europeo </w:t>
      </w:r>
      <w:r w:rsidR="008258D2" w:rsidRPr="00B23866">
        <w:rPr>
          <w:rFonts w:ascii="Times New Roman" w:hAnsi="Times New Roman" w:cs="Times New Roman"/>
          <w:sz w:val="24"/>
          <w:szCs w:val="24"/>
        </w:rPr>
        <w:t>ha approvato</w:t>
      </w:r>
      <w:r w:rsidRPr="00B23866">
        <w:rPr>
          <w:rFonts w:ascii="Times New Roman" w:hAnsi="Times New Roman" w:cs="Times New Roman"/>
          <w:sz w:val="24"/>
          <w:szCs w:val="24"/>
        </w:rPr>
        <w:t xml:space="preserve">, nel mese di marzo, </w:t>
      </w:r>
      <w:r w:rsidR="008258D2" w:rsidRPr="00B23866">
        <w:rPr>
          <w:rFonts w:ascii="Times New Roman" w:hAnsi="Times New Roman" w:cs="Times New Roman"/>
          <w:sz w:val="24"/>
          <w:szCs w:val="24"/>
        </w:rPr>
        <w:t xml:space="preserve"> due regolamenti operativi e un regolamento di esecuzione su come ottenere e rendere disponibili specifiche risorse proprie, che rappresentano le entrate del bilancio UE. Le tre leggi agiscono insieme alla </w:t>
      </w:r>
      <w:hyperlink r:id="rId64" w:tgtFrame="_blank" w:history="1">
        <w:r w:rsidR="008258D2" w:rsidRPr="00B23866">
          <w:rPr>
            <w:rStyle w:val="Collegamentoipertestuale"/>
            <w:rFonts w:ascii="Times New Roman" w:hAnsi="Times New Roman" w:cs="Times New Roman"/>
            <w:color w:val="auto"/>
            <w:sz w:val="24"/>
            <w:szCs w:val="24"/>
          </w:rPr>
          <w:t>decisione sulle risorse proprie (ORD)</w:t>
        </w:r>
      </w:hyperlink>
      <w:r w:rsidR="008258D2" w:rsidRPr="00B23866">
        <w:rPr>
          <w:rFonts w:ascii="Times New Roman" w:hAnsi="Times New Roman" w:cs="Times New Roman"/>
          <w:sz w:val="24"/>
          <w:szCs w:val="24"/>
        </w:rPr>
        <w:t>, </w:t>
      </w:r>
      <w:hyperlink r:id="rId65" w:tgtFrame="_blank" w:history="1">
        <w:r w:rsidR="008258D2" w:rsidRPr="00B23866">
          <w:rPr>
            <w:rStyle w:val="Collegamentoipertestuale"/>
            <w:rFonts w:ascii="Times New Roman" w:hAnsi="Times New Roman" w:cs="Times New Roman"/>
            <w:color w:val="auto"/>
            <w:sz w:val="24"/>
            <w:szCs w:val="24"/>
          </w:rPr>
          <w:t>approvata dal Parlamento a settembre 2020</w:t>
        </w:r>
      </w:hyperlink>
      <w:r w:rsidR="008258D2" w:rsidRPr="00B23866">
        <w:rPr>
          <w:rFonts w:ascii="Times New Roman" w:hAnsi="Times New Roman" w:cs="Times New Roman"/>
          <w:sz w:val="24"/>
          <w:szCs w:val="24"/>
        </w:rPr>
        <w:t xml:space="preserve"> e dal Consiglio a dicembre 2020. </w:t>
      </w:r>
    </w:p>
    <w:p w:rsidR="008258D2" w:rsidRPr="00B23866" w:rsidRDefault="008258D2" w:rsidP="00CB7530">
      <w:pPr>
        <w:pStyle w:val="Nessunaspaziatura"/>
        <w:jc w:val="both"/>
        <w:rPr>
          <w:rFonts w:ascii="Times New Roman" w:hAnsi="Times New Roman" w:cs="Times New Roman"/>
          <w:sz w:val="24"/>
          <w:szCs w:val="24"/>
        </w:rPr>
      </w:pPr>
      <w:r w:rsidRPr="00B23866">
        <w:rPr>
          <w:rFonts w:ascii="Times New Roman" w:hAnsi="Times New Roman" w:cs="Times New Roman"/>
          <w:sz w:val="24"/>
          <w:szCs w:val="24"/>
        </w:rPr>
        <w:t>I regolamenti approvati comprendono disposizioni per il calcolo e la semplificazione delle entrate dell'Unione, per la gestione del flusso di cassa e i per diritti di monitoraggio e ispezione. Ciò è necessario per garantire il corretto funzionamento delle entrate del bilancio dell'UE anche dopo la riforma.</w:t>
      </w:r>
    </w:p>
    <w:p w:rsidR="008258D2" w:rsidRPr="00B23866" w:rsidRDefault="008258D2" w:rsidP="00CB7530">
      <w:pPr>
        <w:pStyle w:val="Nessunaspaziatura"/>
        <w:jc w:val="both"/>
        <w:rPr>
          <w:rFonts w:ascii="Times New Roman" w:hAnsi="Times New Roman" w:cs="Times New Roman"/>
          <w:sz w:val="24"/>
          <w:szCs w:val="24"/>
        </w:rPr>
      </w:pPr>
      <w:r w:rsidRPr="00B23866">
        <w:rPr>
          <w:rFonts w:ascii="Times New Roman" w:hAnsi="Times New Roman" w:cs="Times New Roman"/>
          <w:sz w:val="24"/>
          <w:szCs w:val="24"/>
        </w:rPr>
        <w:t>Una volta ratificata la decisione relativa alle risorse proprie da parte degli Stati membri, il </w:t>
      </w:r>
      <w:hyperlink r:id="rId66" w:tgtFrame="_blank" w:history="1">
        <w:r w:rsidRPr="00B23866">
          <w:rPr>
            <w:rStyle w:val="Collegamentoipertestuale"/>
            <w:rFonts w:ascii="Times New Roman" w:hAnsi="Times New Roman" w:cs="Times New Roman"/>
            <w:color w:val="auto"/>
            <w:sz w:val="24"/>
            <w:szCs w:val="24"/>
          </w:rPr>
          <w:t>pacchetto</w:t>
        </w:r>
      </w:hyperlink>
      <w:r w:rsidRPr="00B23866">
        <w:rPr>
          <w:rFonts w:ascii="Times New Roman" w:hAnsi="Times New Roman" w:cs="Times New Roman"/>
          <w:sz w:val="24"/>
          <w:szCs w:val="24"/>
        </w:rPr>
        <w:t> approvato si applicherà retroattivamente dal 1° gennaio 2021. Introdurrà la nuova imposta sulla plastica come prima di una serie di nuove fonti di entrate che saranno definite da qui al 2026. La decisione relativa alle risorse proprie permetterà all'UE di prendere in prestito 750 miliardi di euro per il </w:t>
      </w:r>
      <w:hyperlink r:id="rId67" w:tgtFrame="_blank" w:history="1">
        <w:r w:rsidRPr="00B23866">
          <w:rPr>
            <w:rStyle w:val="Collegamentoipertestuale"/>
            <w:rFonts w:ascii="Times New Roman" w:hAnsi="Times New Roman" w:cs="Times New Roman"/>
            <w:color w:val="auto"/>
            <w:sz w:val="24"/>
            <w:szCs w:val="24"/>
          </w:rPr>
          <w:t>Piano per la ripresa "Next Generation EU"</w:t>
        </w:r>
      </w:hyperlink>
      <w:r w:rsidRPr="00B23866">
        <w:rPr>
          <w:rFonts w:ascii="Times New Roman" w:hAnsi="Times New Roman" w:cs="Times New Roman"/>
          <w:sz w:val="24"/>
          <w:szCs w:val="24"/>
        </w:rPr>
        <w:t>.</w:t>
      </w:r>
    </w:p>
    <w:p w:rsidR="008258D2" w:rsidRPr="00CB7530" w:rsidRDefault="008258D2" w:rsidP="00B73899">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br/>
      </w:r>
    </w:p>
    <w:p w:rsidR="008258D2" w:rsidRPr="00CB7530" w:rsidRDefault="008258D2" w:rsidP="00CB7530">
      <w:pPr>
        <w:pStyle w:val="Nessunaspaziatura"/>
        <w:jc w:val="both"/>
        <w:rPr>
          <w:rFonts w:ascii="Times New Roman" w:hAnsi="Times New Roman" w:cs="Times New Roman"/>
          <w:sz w:val="24"/>
          <w:szCs w:val="24"/>
        </w:rPr>
      </w:pPr>
    </w:p>
    <w:p w:rsidR="00B73899" w:rsidRPr="00B73899" w:rsidRDefault="00B73899" w:rsidP="00B73899">
      <w:pPr>
        <w:pStyle w:val="Nessunaspaziatura"/>
        <w:jc w:val="center"/>
        <w:rPr>
          <w:rFonts w:ascii="Times New Roman" w:hAnsi="Times New Roman" w:cs="Times New Roman"/>
          <w:b/>
          <w:bCs/>
          <w:sz w:val="32"/>
          <w:szCs w:val="32"/>
        </w:rPr>
      </w:pPr>
      <w:r w:rsidRPr="00B73899">
        <w:rPr>
          <w:rFonts w:ascii="Times New Roman" w:hAnsi="Times New Roman" w:cs="Times New Roman"/>
          <w:b/>
          <w:bCs/>
          <w:sz w:val="32"/>
          <w:szCs w:val="32"/>
        </w:rPr>
        <w:t>Tabella di marcia delle risorse proprie</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br/>
        <w:t>Le tre fasi della </w:t>
      </w:r>
      <w:hyperlink r:id="rId68" w:anchor="d1e32-44-1" w:tgtFrame="_blank" w:history="1">
        <w:r w:rsidRPr="00CB7530">
          <w:rPr>
            <w:rStyle w:val="Collegamentoipertestuale"/>
            <w:rFonts w:ascii="Times New Roman" w:hAnsi="Times New Roman" w:cs="Times New Roman"/>
            <w:b/>
            <w:bCs/>
            <w:sz w:val="24"/>
            <w:szCs w:val="24"/>
          </w:rPr>
          <w:t>tabella di marcia delle risorse proprie</w:t>
        </w:r>
      </w:hyperlink>
      <w:r w:rsidRPr="00CB7530">
        <w:rPr>
          <w:rStyle w:val="Collegamentoipertestuale"/>
          <w:rFonts w:ascii="Times New Roman" w:hAnsi="Times New Roman" w:cs="Times New Roman"/>
          <w:b/>
          <w:bCs/>
          <w:sz w:val="24"/>
          <w:szCs w:val="24"/>
        </w:rPr>
        <w:t xml:space="preserve"> </w:t>
      </w:r>
      <w:r w:rsidRPr="00CB7530">
        <w:rPr>
          <w:rStyle w:val="Collegamentoipertestuale"/>
          <w:rFonts w:ascii="Times New Roman" w:hAnsi="Times New Roman" w:cs="Times New Roman"/>
          <w:b/>
          <w:bCs/>
          <w:i/>
          <w:iCs/>
          <w:sz w:val="24"/>
          <w:szCs w:val="24"/>
        </w:rPr>
        <w:t>(</w:t>
      </w:r>
      <w:r w:rsidRPr="00CB7530">
        <w:rPr>
          <w:rFonts w:ascii="Times New Roman" w:hAnsi="Times New Roman" w:cs="Times New Roman"/>
          <w:i/>
          <w:iCs/>
          <w:sz w:val="24"/>
          <w:szCs w:val="24"/>
        </w:rPr>
        <w:t> Accordo interistituzionale tra il parlamento europeo, il consiglio dell'unione europea e la commissione europea sulla disciplina di bilancio, sulla cooperazione in materia di bilancio e sulla sana gestione finanziaria, nonché su nuove risorse proprie, compresa una tabella di marcia per l'introduzione di nuove risorse proprie accordo interistituzionale del 16 dicembre 2020</w:t>
      </w:r>
      <w:r w:rsidRPr="00CB7530">
        <w:rPr>
          <w:rFonts w:ascii="Times New Roman" w:hAnsi="Times New Roman" w:cs="Times New Roman"/>
          <w:sz w:val="24"/>
          <w:szCs w:val="24"/>
        </w:rPr>
        <w:t xml:space="preserve">) </w:t>
      </w:r>
    </w:p>
    <w:p w:rsidR="008258D2" w:rsidRPr="000E5CC8" w:rsidRDefault="008258D2" w:rsidP="00CB7530">
      <w:pPr>
        <w:pStyle w:val="Nessunaspaziatura"/>
        <w:jc w:val="both"/>
        <w:rPr>
          <w:rFonts w:ascii="Times New Roman" w:hAnsi="Times New Roman" w:cs="Times New Roman"/>
          <w:b/>
          <w:bCs/>
          <w:sz w:val="24"/>
          <w:szCs w:val="24"/>
        </w:rPr>
      </w:pPr>
      <w:r w:rsidRPr="00CB7530">
        <w:rPr>
          <w:rFonts w:ascii="Times New Roman" w:hAnsi="Times New Roman" w:cs="Times New Roman"/>
          <w:sz w:val="24"/>
          <w:szCs w:val="24"/>
        </w:rPr>
        <w:t>sono:</w:t>
      </w:r>
      <w:r w:rsidRPr="00CB7530">
        <w:rPr>
          <w:rFonts w:ascii="Times New Roman" w:hAnsi="Times New Roman" w:cs="Times New Roman"/>
          <w:sz w:val="24"/>
          <w:szCs w:val="24"/>
        </w:rPr>
        <w:br/>
      </w:r>
      <w:r w:rsidRPr="000E5CC8">
        <w:rPr>
          <w:rFonts w:ascii="Times New Roman" w:hAnsi="Times New Roman" w:cs="Times New Roman"/>
          <w:b/>
          <w:bCs/>
          <w:sz w:val="24"/>
          <w:szCs w:val="24"/>
        </w:rPr>
        <w:t xml:space="preserve">prima fase (2021): </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un'imposta sulla plastica introdotta a gennaio 2021; </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le nuove proposte legislative su un meccanismo di adeguamento del carbonio alle frontiere, il prelievo sul digitale e il sistema di scambio di quote di emissioni saranno presentate entro giugno;</w:t>
      </w:r>
    </w:p>
    <w:p w:rsidR="000E5CC8" w:rsidRDefault="000E5CC8" w:rsidP="00CB7530">
      <w:pPr>
        <w:pStyle w:val="Nessunaspaziatura"/>
        <w:jc w:val="both"/>
        <w:rPr>
          <w:rFonts w:ascii="Times New Roman" w:hAnsi="Times New Roman" w:cs="Times New Roman"/>
          <w:sz w:val="24"/>
          <w:szCs w:val="24"/>
        </w:rPr>
      </w:pPr>
    </w:p>
    <w:p w:rsidR="008258D2" w:rsidRPr="000E5CC8" w:rsidRDefault="008258D2" w:rsidP="00CB7530">
      <w:pPr>
        <w:pStyle w:val="Nessunaspaziatura"/>
        <w:jc w:val="both"/>
        <w:rPr>
          <w:rFonts w:ascii="Times New Roman" w:hAnsi="Times New Roman" w:cs="Times New Roman"/>
          <w:b/>
          <w:bCs/>
          <w:sz w:val="24"/>
          <w:szCs w:val="24"/>
        </w:rPr>
      </w:pPr>
      <w:r w:rsidRPr="000E5CC8">
        <w:rPr>
          <w:rFonts w:ascii="Times New Roman" w:hAnsi="Times New Roman" w:cs="Times New Roman"/>
          <w:b/>
          <w:bCs/>
          <w:sz w:val="24"/>
          <w:szCs w:val="24"/>
        </w:rPr>
        <w:t xml:space="preserve">seconda fase (2022 e 2023): </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il Consiglio delibererà su queste nuovi fonti di entrate al più tardi entro il 1° luglio 2022 perché possano essere introdotte entro il 1° gennaio 2023;</w:t>
      </w:r>
    </w:p>
    <w:p w:rsidR="008258D2" w:rsidRPr="00CB7530" w:rsidRDefault="008258D2" w:rsidP="00CB7530">
      <w:pPr>
        <w:pStyle w:val="Nessunaspaziatura"/>
        <w:jc w:val="both"/>
        <w:rPr>
          <w:rFonts w:ascii="Times New Roman" w:hAnsi="Times New Roman" w:cs="Times New Roman"/>
          <w:sz w:val="24"/>
          <w:szCs w:val="24"/>
        </w:rPr>
      </w:pPr>
    </w:p>
    <w:p w:rsidR="008258D2" w:rsidRPr="000E5CC8" w:rsidRDefault="008258D2" w:rsidP="00CB7530">
      <w:pPr>
        <w:pStyle w:val="Nessunaspaziatura"/>
        <w:jc w:val="both"/>
        <w:rPr>
          <w:rFonts w:ascii="Times New Roman" w:hAnsi="Times New Roman" w:cs="Times New Roman"/>
          <w:b/>
          <w:bCs/>
          <w:sz w:val="24"/>
          <w:szCs w:val="24"/>
        </w:rPr>
      </w:pPr>
      <w:r w:rsidRPr="000E5CC8">
        <w:rPr>
          <w:rFonts w:ascii="Times New Roman" w:hAnsi="Times New Roman" w:cs="Times New Roman"/>
          <w:b/>
          <w:bCs/>
          <w:sz w:val="24"/>
          <w:szCs w:val="24"/>
        </w:rPr>
        <w:t xml:space="preserve">terza fase (2024-2026): </w:t>
      </w:r>
    </w:p>
    <w:p w:rsidR="008258D2" w:rsidRPr="00CB7530" w:rsidRDefault="008258D2"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entro giugno 2024 la Commissione presenterà una proposta per nuove risorse proprie supplementari che potrebbero comprendere un'imposta sulle transazioni finanziarie e un contributo finanziario da parte del settore societario oppure una nuova base imponibile comune per l'imposta sulle società. </w:t>
      </w:r>
      <w:r w:rsidR="000E5CC8">
        <w:rPr>
          <w:rFonts w:ascii="Times New Roman" w:hAnsi="Times New Roman" w:cs="Times New Roman"/>
          <w:sz w:val="24"/>
          <w:szCs w:val="24"/>
        </w:rPr>
        <w:t xml:space="preserve"> </w:t>
      </w:r>
      <w:r w:rsidRPr="00CB7530">
        <w:rPr>
          <w:rFonts w:ascii="Times New Roman" w:hAnsi="Times New Roman" w:cs="Times New Roman"/>
          <w:sz w:val="24"/>
          <w:szCs w:val="24"/>
        </w:rPr>
        <w:t>Il Consiglio delibererà in merito a queste nuove fonti di entrate per l'UE al più tardi entro il 1° luglio 2025 perché possano essere introdotte entro il 1° gennaio 2026.</w:t>
      </w:r>
    </w:p>
    <w:p w:rsidR="008258D2" w:rsidRPr="00CB7530" w:rsidRDefault="008258D2" w:rsidP="00CB7530">
      <w:pPr>
        <w:pStyle w:val="Nessunaspaziatura"/>
        <w:jc w:val="both"/>
        <w:rPr>
          <w:rFonts w:ascii="Times New Roman" w:hAnsi="Times New Roman" w:cs="Times New Roman"/>
          <w:sz w:val="24"/>
          <w:szCs w:val="24"/>
        </w:rPr>
      </w:pPr>
    </w:p>
    <w:p w:rsidR="00901296" w:rsidRPr="000E5CC8" w:rsidRDefault="00901296" w:rsidP="000E5CC8">
      <w:pPr>
        <w:pStyle w:val="Nessunaspaziatura"/>
        <w:jc w:val="center"/>
        <w:rPr>
          <w:rFonts w:ascii="Times New Roman" w:eastAsia="Times New Roman" w:hAnsi="Times New Roman" w:cs="Times New Roman"/>
          <w:b/>
          <w:bCs/>
          <w:color w:val="1E1E1F"/>
          <w:sz w:val="32"/>
          <w:szCs w:val="32"/>
          <w:lang w:eastAsia="it-IT"/>
        </w:rPr>
      </w:pPr>
      <w:r w:rsidRPr="000E5CC8">
        <w:rPr>
          <w:rFonts w:ascii="Times New Roman" w:eastAsia="Times New Roman" w:hAnsi="Times New Roman" w:cs="Times New Roman"/>
          <w:b/>
          <w:bCs/>
          <w:color w:val="1E1E1F"/>
          <w:sz w:val="32"/>
          <w:szCs w:val="32"/>
          <w:bdr w:val="none" w:sz="0" w:space="0" w:color="auto" w:frame="1"/>
          <w:lang w:eastAsia="it-IT"/>
        </w:rPr>
        <w:t>Quadro finanziario pluriennale 2021-2027</w:t>
      </w:r>
      <w:r w:rsidRPr="000E5CC8">
        <w:rPr>
          <w:rFonts w:ascii="Times New Roman" w:eastAsia="Times New Roman" w:hAnsi="Times New Roman" w:cs="Times New Roman"/>
          <w:b/>
          <w:bCs/>
          <w:color w:val="1E1E1F"/>
          <w:sz w:val="32"/>
          <w:szCs w:val="32"/>
          <w:lang w:eastAsia="it-IT"/>
        </w:rPr>
        <w:t> </w:t>
      </w:r>
      <w:r w:rsidRPr="000E5CC8">
        <w:rPr>
          <w:rFonts w:ascii="Times New Roman" w:eastAsia="Times New Roman" w:hAnsi="Times New Roman" w:cs="Times New Roman"/>
          <w:b/>
          <w:bCs/>
          <w:color w:val="1E1E1F"/>
          <w:sz w:val="32"/>
          <w:szCs w:val="32"/>
          <w:bdr w:val="none" w:sz="0" w:space="0" w:color="auto" w:frame="1"/>
          <w:lang w:eastAsia="it-IT"/>
        </w:rPr>
        <w:t> </w:t>
      </w:r>
      <w:hyperlink r:id="rId69" w:tgtFrame="_blank" w:tooltip="apri questo PDF in una nuova finestra" w:history="1">
        <w:r w:rsidRPr="000E5CC8">
          <w:rPr>
            <w:rFonts w:ascii="Times New Roman" w:eastAsia="Times New Roman" w:hAnsi="Times New Roman" w:cs="Times New Roman"/>
            <w:b/>
            <w:bCs/>
            <w:color w:val="3C77BD"/>
            <w:sz w:val="32"/>
            <w:szCs w:val="32"/>
            <w:bdr w:val="none" w:sz="0" w:space="0" w:color="auto" w:frame="1"/>
            <w:lang w:eastAsia="it-IT"/>
          </w:rPr>
          <w:t>  </w:t>
        </w:r>
        <w:r w:rsidRPr="000E5CC8">
          <w:rPr>
            <w:rFonts w:ascii="Times New Roman" w:eastAsia="Times New Roman" w:hAnsi="Times New Roman" w:cs="Times New Roman"/>
            <w:b/>
            <w:bCs/>
            <w:color w:val="505154"/>
            <w:sz w:val="32"/>
            <w:szCs w:val="32"/>
            <w:bdr w:val="none" w:sz="0" w:space="0" w:color="auto" w:frame="1"/>
            <w:lang w:eastAsia="it-IT"/>
          </w:rPr>
          <w:t> </w:t>
        </w:r>
        <w:r w:rsidRPr="000E5CC8">
          <w:rPr>
            <w:rFonts w:ascii="Times New Roman" w:eastAsia="Times New Roman" w:hAnsi="Times New Roman" w:cs="Times New Roman"/>
            <w:b/>
            <w:bCs/>
            <w:color w:val="0000FF"/>
            <w:sz w:val="32"/>
            <w:szCs w:val="32"/>
            <w:bdr w:val="none" w:sz="0" w:space="0" w:color="auto" w:frame="1"/>
            <w:lang w:eastAsia="it-IT"/>
          </w:rPr>
          <w:t> </w:t>
        </w:r>
      </w:hyperlink>
    </w:p>
    <w:p w:rsidR="00901296" w:rsidRPr="00CB7530" w:rsidRDefault="00901296" w:rsidP="00CB7530">
      <w:pPr>
        <w:pStyle w:val="Nessunaspaziatura"/>
        <w:jc w:val="both"/>
        <w:rPr>
          <w:rFonts w:ascii="Times New Roman" w:eastAsia="Times New Roman" w:hAnsi="Times New Roman" w:cs="Times New Roman"/>
          <w:color w:val="505154"/>
          <w:sz w:val="24"/>
          <w:szCs w:val="24"/>
          <w:bdr w:val="none" w:sz="0" w:space="0" w:color="auto" w:frame="1"/>
          <w:lang w:eastAsia="it-IT"/>
        </w:rPr>
      </w:pPr>
    </w:p>
    <w:p w:rsidR="00901296" w:rsidRPr="00E31FA5" w:rsidRDefault="00901296" w:rsidP="00CB7530">
      <w:pPr>
        <w:pStyle w:val="Nessunaspaziatura"/>
        <w:jc w:val="both"/>
        <w:rPr>
          <w:rFonts w:ascii="Times New Roman" w:eastAsia="Times New Roman" w:hAnsi="Times New Roman" w:cs="Times New Roman"/>
          <w:sz w:val="24"/>
          <w:szCs w:val="24"/>
          <w:bdr w:val="none" w:sz="0" w:space="0" w:color="auto" w:frame="1"/>
          <w:lang w:eastAsia="it-IT"/>
        </w:rPr>
      </w:pPr>
      <w:r w:rsidRPr="00E31FA5">
        <w:rPr>
          <w:rFonts w:ascii="Times New Roman" w:eastAsia="Times New Roman" w:hAnsi="Times New Roman" w:cs="Times New Roman"/>
          <w:sz w:val="24"/>
          <w:szCs w:val="24"/>
          <w:bdr w:val="none" w:sz="0" w:space="0" w:color="auto" w:frame="1"/>
          <w:lang w:eastAsia="it-IT"/>
        </w:rPr>
        <w:t>Una volta ogni sette anni, l'Unione europea decide il suo futuro bilancio a lungo termine: il quadro finanziario pluriennale (QFP). Di seguito l'elenco dei fascicoli di procedura relativi al nuovo QFP avviato il 1 ° gennaio 2021.</w:t>
      </w:r>
    </w:p>
    <w:p w:rsidR="00901296" w:rsidRPr="00E31FA5" w:rsidRDefault="00901296" w:rsidP="00CB7530">
      <w:pPr>
        <w:pStyle w:val="Nessunaspaziatura"/>
        <w:jc w:val="both"/>
        <w:rPr>
          <w:rFonts w:ascii="Times New Roman" w:eastAsia="Times New Roman" w:hAnsi="Times New Roman" w:cs="Times New Roman"/>
          <w:sz w:val="24"/>
          <w:szCs w:val="24"/>
          <w:bdr w:val="none" w:sz="0" w:space="0" w:color="auto" w:frame="1"/>
          <w:lang w:eastAsia="it-IT"/>
        </w:rPr>
      </w:pPr>
    </w:p>
    <w:p w:rsidR="00901296" w:rsidRPr="00E31FA5" w:rsidRDefault="00901296" w:rsidP="00CB7530">
      <w:pPr>
        <w:pStyle w:val="Nessunaspaziatura"/>
        <w:jc w:val="both"/>
        <w:rPr>
          <w:rFonts w:ascii="Times New Roman" w:eastAsia="Times New Roman" w:hAnsi="Times New Roman" w:cs="Times New Roman"/>
          <w:b/>
          <w:bCs/>
          <w:sz w:val="24"/>
          <w:szCs w:val="24"/>
          <w:bdr w:val="none" w:sz="0" w:space="0" w:color="auto" w:frame="1"/>
          <w:lang w:eastAsia="it-IT"/>
        </w:rPr>
      </w:pPr>
      <w:r w:rsidRPr="00E31FA5">
        <w:rPr>
          <w:rFonts w:ascii="Times New Roman" w:eastAsia="Times New Roman" w:hAnsi="Times New Roman" w:cs="Times New Roman"/>
          <w:b/>
          <w:bCs/>
          <w:sz w:val="24"/>
          <w:szCs w:val="24"/>
          <w:bdr w:val="none" w:sz="0" w:space="0" w:color="auto" w:frame="1"/>
          <w:lang w:eastAsia="it-IT"/>
        </w:rPr>
        <w:t>Riassunto documenti</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bdr w:val="none" w:sz="0" w:space="0" w:color="auto" w:frame="1"/>
          <w:lang w:eastAsia="it-IT"/>
        </w:rPr>
      </w:pPr>
      <w:r w:rsidRPr="00E31FA5">
        <w:rPr>
          <w:rFonts w:ascii="Times New Roman" w:eastAsia="Times New Roman" w:hAnsi="Times New Roman" w:cs="Times New Roman"/>
          <w:sz w:val="24"/>
          <w:szCs w:val="24"/>
          <w:bdr w:val="none" w:sz="0" w:space="0" w:color="auto" w:frame="1"/>
          <w:lang w:eastAsia="it-IT"/>
        </w:rPr>
        <w:t xml:space="preserve">Quadro finanziario pluriennale per gli anni dal 2021 al 2027  </w:t>
      </w:r>
      <w:r w:rsidR="00901296" w:rsidRPr="00E31FA5">
        <w:rPr>
          <w:rFonts w:ascii="Times New Roman" w:eastAsia="Times New Roman" w:hAnsi="Times New Roman" w:cs="Times New Roman"/>
          <w:sz w:val="24"/>
          <w:szCs w:val="24"/>
          <w:bdr w:val="none" w:sz="0" w:space="0" w:color="auto" w:frame="1"/>
          <w:lang w:eastAsia="it-IT"/>
        </w:rPr>
        <w:t xml:space="preserve">                      </w:t>
      </w:r>
      <w:r w:rsidRPr="00E31FA5">
        <w:rPr>
          <w:rFonts w:ascii="Times New Roman" w:eastAsia="Times New Roman" w:hAnsi="Times New Roman" w:cs="Times New Roman"/>
          <w:sz w:val="24"/>
          <w:szCs w:val="24"/>
          <w:bdr w:val="none" w:sz="0" w:space="0" w:color="auto" w:frame="1"/>
          <w:lang w:eastAsia="it-IT"/>
        </w:rPr>
        <w:t xml:space="preserve">2018/0166 (APP)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bdr w:val="none" w:sz="0" w:space="0" w:color="auto" w:frame="1"/>
          <w:lang w:eastAsia="it-IT"/>
        </w:rPr>
      </w:pPr>
      <w:r w:rsidRPr="00E31FA5">
        <w:rPr>
          <w:rFonts w:ascii="Times New Roman" w:eastAsia="Times New Roman" w:hAnsi="Times New Roman" w:cs="Times New Roman"/>
          <w:sz w:val="24"/>
          <w:szCs w:val="24"/>
          <w:bdr w:val="none" w:sz="0" w:space="0" w:color="auto" w:frame="1"/>
          <w:lang w:eastAsia="it-IT"/>
        </w:rPr>
        <w:lastRenderedPageBreak/>
        <w:t xml:space="preserve">Misure di attuazione del sistema delle risorse proprie dell'Unione europea  2018/0132 (APP)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Riscossione di risorse proprie provenienti dall'imposta sul valore aggiunto  2018/0133 (NLE)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Messa a disposizione delle risorse proprie sulla base della base imponibile consolidata comune per l'imposta sulle società, sul sistema di scambio di quote di emissioni dell'Unione europea e sui rifiuti di imballaggi in plastica non riciclati e misure per soddisfare i requisiti di cassa  2018/0131 (NLE)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Risoluzione sulle conclusioni della riunione straordinaria del Consiglio europeo del 17-21 luglio 2020  2020/2732 (RSP)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Risoluzione sul nuovo quadro finanziario pluriennale, risorse proprie e piano di ripresa  2020/2631 (RSP)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Risoluzione sul quadro finanziario pluriennale 2021-2027 e risorse proprie: è tempo di soddisfare le aspettative dei cittadini   2019/2833 (RSP)  </w:t>
      </w:r>
    </w:p>
    <w:p w:rsidR="00EF7B8D" w:rsidRPr="00E31FA5" w:rsidRDefault="00ED0950" w:rsidP="000E5CC8">
      <w:pPr>
        <w:pStyle w:val="Nessunaspaziatura"/>
        <w:numPr>
          <w:ilvl w:val="0"/>
          <w:numId w:val="19"/>
        </w:numPr>
        <w:jc w:val="both"/>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lang w:eastAsia="it-IT"/>
        </w:rPr>
        <w:t xml:space="preserve">Accordo interistituzionale sulla disciplina di bilancio, sulla cooperazione in materia di bilancio e sulla sana gestione finanziaria   2018/2070 (ACI)  </w:t>
      </w:r>
    </w:p>
    <w:p w:rsidR="00901296" w:rsidRPr="00E31FA5" w:rsidRDefault="00901296" w:rsidP="00CB7530">
      <w:pPr>
        <w:pStyle w:val="Nessunaspaziatura"/>
        <w:jc w:val="both"/>
        <w:rPr>
          <w:rFonts w:ascii="Times New Roman" w:eastAsia="Times New Roman" w:hAnsi="Times New Roman" w:cs="Times New Roman"/>
          <w:sz w:val="24"/>
          <w:szCs w:val="24"/>
          <w:lang w:eastAsia="it-IT"/>
        </w:rPr>
      </w:pPr>
    </w:p>
    <w:p w:rsidR="00901296" w:rsidRPr="00E31FA5" w:rsidRDefault="00901296" w:rsidP="000E5CC8">
      <w:pPr>
        <w:pStyle w:val="Nessunaspaziatura"/>
        <w:jc w:val="center"/>
        <w:rPr>
          <w:rFonts w:ascii="Times New Roman" w:eastAsia="Times New Roman" w:hAnsi="Times New Roman" w:cs="Times New Roman"/>
          <w:b/>
          <w:bCs/>
          <w:sz w:val="28"/>
          <w:szCs w:val="28"/>
          <w:bdr w:val="none" w:sz="0" w:space="0" w:color="auto" w:frame="1"/>
          <w:lang w:eastAsia="it-IT"/>
        </w:rPr>
      </w:pPr>
      <w:r w:rsidRPr="00E31FA5">
        <w:rPr>
          <w:rFonts w:ascii="Times New Roman" w:eastAsia="Times New Roman" w:hAnsi="Times New Roman" w:cs="Times New Roman"/>
          <w:b/>
          <w:bCs/>
          <w:sz w:val="28"/>
          <w:szCs w:val="28"/>
          <w:bdr w:val="none" w:sz="0" w:space="0" w:color="auto" w:frame="1"/>
          <w:lang w:eastAsia="it-IT"/>
        </w:rPr>
        <w:t>19/03/2021 Interventi previsti nel Nuovo Quadro Finanziario</w:t>
      </w:r>
    </w:p>
    <w:p w:rsidR="000E5CC8" w:rsidRPr="00E31FA5" w:rsidRDefault="000E5CC8" w:rsidP="000E5CC8">
      <w:pPr>
        <w:pStyle w:val="Nessunaspaziatura"/>
        <w:jc w:val="center"/>
        <w:rPr>
          <w:rFonts w:ascii="Times New Roman" w:eastAsia="Times New Roman" w:hAnsi="Times New Roman" w:cs="Times New Roman"/>
          <w:sz w:val="24"/>
          <w:szCs w:val="24"/>
          <w:lang w:eastAsia="it-IT"/>
        </w:rPr>
      </w:pPr>
      <w:r w:rsidRPr="00E31FA5">
        <w:rPr>
          <w:rFonts w:ascii="Times New Roman" w:eastAsia="Times New Roman" w:hAnsi="Times New Roman" w:cs="Times New Roman"/>
          <w:sz w:val="24"/>
          <w:szCs w:val="24"/>
          <w:bdr w:val="none" w:sz="0" w:space="0" w:color="auto" w:frame="1"/>
          <w:lang w:eastAsia="it-IT"/>
        </w:rPr>
        <w:t>(Elenco dei Programmi finanziati dall’Unione europea)</w:t>
      </w:r>
    </w:p>
    <w:p w:rsidR="00DF709A" w:rsidRPr="00E31FA5" w:rsidRDefault="00DF709A" w:rsidP="00CB7530">
      <w:pPr>
        <w:pStyle w:val="Nessunaspaziatura"/>
        <w:jc w:val="both"/>
        <w:rPr>
          <w:rFonts w:ascii="Times New Roman" w:hAnsi="Times New Roman" w:cs="Times New Roman"/>
          <w:sz w:val="24"/>
          <w:szCs w:val="24"/>
        </w:rPr>
      </w:pP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Aiuto </w:t>
      </w:r>
      <w:r w:rsidR="009C466F" w:rsidRPr="00E31FA5">
        <w:rPr>
          <w:rFonts w:ascii="Times New Roman" w:hAnsi="Times New Roman" w:cs="Times New Roman"/>
          <w:sz w:val="24"/>
          <w:szCs w:val="24"/>
        </w:rPr>
        <w:t>umanitario 2020</w:t>
      </w:r>
      <w:r w:rsidRPr="00E31FA5">
        <w:rPr>
          <w:rFonts w:ascii="Times New Roman" w:hAnsi="Times New Roman" w:cs="Times New Roman"/>
          <w:sz w:val="24"/>
          <w:szCs w:val="24"/>
        </w:rPr>
        <w:t xml:space="preserve">/0110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InvestEU   2020/0108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di supporto </w:t>
      </w:r>
      <w:r w:rsidR="009C466F" w:rsidRPr="00E31FA5">
        <w:rPr>
          <w:rFonts w:ascii="Times New Roman" w:hAnsi="Times New Roman" w:cs="Times New Roman"/>
          <w:sz w:val="24"/>
          <w:szCs w:val="24"/>
        </w:rPr>
        <w:t>tecnico 2020</w:t>
      </w:r>
      <w:r w:rsidRPr="00E31FA5">
        <w:rPr>
          <w:rFonts w:ascii="Times New Roman" w:hAnsi="Times New Roman" w:cs="Times New Roman"/>
          <w:sz w:val="24"/>
          <w:szCs w:val="24"/>
        </w:rPr>
        <w:t xml:space="preserve">/0103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Programma d'azione dell'Unione nel campo della salute per il periodo 2021-2027 ("EU4Health Program</w:t>
      </w:r>
      <w:r w:rsidR="009C466F" w:rsidRPr="00E31FA5">
        <w:rPr>
          <w:rFonts w:ascii="Times New Roman" w:hAnsi="Times New Roman" w:cs="Times New Roman"/>
          <w:sz w:val="24"/>
          <w:szCs w:val="24"/>
        </w:rPr>
        <w:t>”) 2020</w:t>
      </w:r>
      <w:r w:rsidRPr="00E31FA5">
        <w:rPr>
          <w:rFonts w:ascii="Times New Roman" w:hAnsi="Times New Roman" w:cs="Times New Roman"/>
          <w:sz w:val="24"/>
          <w:szCs w:val="24"/>
        </w:rPr>
        <w:t xml:space="preserve">/0102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di prestito del settore pubblico nell'ambito del meccanismo per una transizione giusta 2020/0100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Meccanismo unionale di protezione </w:t>
      </w:r>
      <w:r w:rsidR="009C466F" w:rsidRPr="00E31FA5">
        <w:rPr>
          <w:rFonts w:ascii="Times New Roman" w:hAnsi="Times New Roman" w:cs="Times New Roman"/>
          <w:sz w:val="24"/>
          <w:szCs w:val="24"/>
        </w:rPr>
        <w:t>civile 2020</w:t>
      </w:r>
      <w:r w:rsidRPr="00E31FA5">
        <w:rPr>
          <w:rFonts w:ascii="Times New Roman" w:hAnsi="Times New Roman" w:cs="Times New Roman"/>
          <w:sz w:val="24"/>
          <w:szCs w:val="24"/>
        </w:rPr>
        <w:t xml:space="preserve">/0097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per una transizione </w:t>
      </w:r>
      <w:r w:rsidR="009C466F" w:rsidRPr="00E31FA5">
        <w:rPr>
          <w:rFonts w:ascii="Times New Roman" w:hAnsi="Times New Roman" w:cs="Times New Roman"/>
          <w:sz w:val="24"/>
          <w:szCs w:val="24"/>
        </w:rPr>
        <w:t>giusta 2020</w:t>
      </w:r>
      <w:r w:rsidRPr="00E31FA5">
        <w:rPr>
          <w:rFonts w:ascii="Times New Roman" w:hAnsi="Times New Roman" w:cs="Times New Roman"/>
          <w:sz w:val="24"/>
          <w:szCs w:val="24"/>
        </w:rPr>
        <w:t xml:space="preserve">/0006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Meccanismo unionale di protezione </w:t>
      </w:r>
      <w:r w:rsidR="009C466F" w:rsidRPr="00E31FA5">
        <w:rPr>
          <w:rFonts w:ascii="Times New Roman" w:hAnsi="Times New Roman" w:cs="Times New Roman"/>
          <w:sz w:val="24"/>
          <w:szCs w:val="24"/>
        </w:rPr>
        <w:t>civile 2019</w:t>
      </w:r>
      <w:r w:rsidRPr="00E31FA5">
        <w:rPr>
          <w:rFonts w:ascii="Times New Roman" w:hAnsi="Times New Roman" w:cs="Times New Roman"/>
          <w:sz w:val="24"/>
          <w:szCs w:val="24"/>
        </w:rPr>
        <w:t xml:space="preserve">/0070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Fondo per la gestione integrata delle frontiere: strumento di sostegno finanziario per le attrezzature di controllo doganale 2021-</w:t>
      </w:r>
      <w:r w:rsidR="009C466F" w:rsidRPr="00E31FA5">
        <w:rPr>
          <w:rFonts w:ascii="Times New Roman" w:hAnsi="Times New Roman" w:cs="Times New Roman"/>
          <w:sz w:val="24"/>
          <w:szCs w:val="24"/>
        </w:rPr>
        <w:t>2027   2018</w:t>
      </w:r>
      <w:r w:rsidRPr="00E31FA5">
        <w:rPr>
          <w:rFonts w:ascii="Times New Roman" w:hAnsi="Times New Roman" w:cs="Times New Roman"/>
          <w:sz w:val="24"/>
          <w:szCs w:val="24"/>
        </w:rPr>
        <w:t xml:space="preserve">/0258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europeo per la difesa 2021-2027 </w:t>
      </w:r>
      <w:r w:rsidR="009C466F" w:rsidRPr="00E31FA5">
        <w:rPr>
          <w:rFonts w:ascii="Times New Roman" w:hAnsi="Times New Roman" w:cs="Times New Roman"/>
          <w:sz w:val="24"/>
          <w:szCs w:val="24"/>
        </w:rPr>
        <w:t xml:space="preserve">  </w:t>
      </w:r>
      <w:r w:rsidRPr="00E31FA5">
        <w:rPr>
          <w:rFonts w:ascii="Times New Roman" w:hAnsi="Times New Roman" w:cs="Times New Roman"/>
          <w:sz w:val="24"/>
          <w:szCs w:val="24"/>
        </w:rPr>
        <w:t xml:space="preserve">2018/0254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sicurezza interna 2021-2027  2018/0250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per la gestione integrata delle frontiere: strumento di sostegno finanziario per la gestione delle frontiere e i visti 2021-2027  2018/0249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Asilo e migrazione 2021-2027  2018/0248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di assistenza preadesione (IPA III) 2021-2027  2018/0247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di vicinato, sviluppo e cooperazione internazionale 2021-2027  2018/0243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spaziale 2021–2027 e Agenzia dell'Unione europea per il programma spaziale  2018/0236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Fiscalis per la cooperazione nel settore fiscale 2021-2027  2018/0233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doganale per la cooperazione nel settore doganale 2021-2027  2018/0232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per il mercato unico, la competitività delle imprese, comprese le piccole e medie imprese, e le statistiche europee 2021-2027  2018/0231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del corpo europeo di solidarietà 2021-2027  2018/0230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per collegare l'Europa 2021-2027  2018/0228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Europa digitale 2021-2027  2018/0227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quadro Horizon Europe per la ricerca e l'innovazione 2021-2027  2018/0224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Politica agricola comune (PAC) 2021-2027  2018/0218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Politica agricola comune (PAC): finanziamento, gestione e monitoraggio 2021-2027  2018/0217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lastRenderedPageBreak/>
        <w:t xml:space="preserve">Sostegno ai piani strategici che devono essere elaborati dagli Stati membri nell'ambito della politica agricola comune (piani strategici della PAC) e finanziati dal Fondo europeo agricolo di garanzia (FEAGA) e dal Fondo europeo agricolo per lo sviluppo rurale (FEASR) 2021-2027  2018/0216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di sostegno alle riforme 2021-2027  2018/0213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Funzione europea di stabilizzazione degli investimenti 2021-2027  2018/0212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antifrode dell'UE 2021-2027  2018/0211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europeo per gli affari marittimi e la pesca 2021-2027  2018/0210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per l'ambiente e l'azione per il clima (LIFE) 2021-2027  2018/0209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di giustizia 2021-2027  2018/0208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sui diritti e i valori 2021–2027  2018/0207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sociale europeo Plus (FSE +) 2021-2027  2018/0206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Disposizioni specifiche per l'obiettivo di cooperazione territoriale europea (Interreg) sostenuto dal Fondo europeo di sviluppo regionale (FESR) e strumenti di finanziamento esterno 2021-2027  2018/0199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Meccanismo per risolvere gli ostacoli legali e amministrativi in ​​un contesto transfrontaliero  2018/0198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europeo di sviluppo regionale (FESR) e Fondo di coesione 2021-2027   2018/0197 (COD)  </w:t>
      </w:r>
    </w:p>
    <w:p w:rsidR="000E5CC8"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Disposizioni comuni sul Fondo europeo di sviluppo regionale, Fondo sociale europeo Plus, Fondo di coesione e Fondo europeo per gli affari marittimi e la pesca e norme finanziarie per tali paesi e per il Fondo Asilo e migrazione,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Fondo Sicurezza interna e Gestione delle frontiere e Strumento visti 2021-2027  2018/0196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Pericle IV</w:t>
      </w:r>
      <w:r w:rsidR="000E5CC8" w:rsidRPr="00E31FA5">
        <w:rPr>
          <w:rFonts w:ascii="Times New Roman" w:hAnsi="Times New Roman" w:cs="Times New Roman"/>
          <w:sz w:val="24"/>
          <w:szCs w:val="24"/>
        </w:rPr>
        <w:t>,</w:t>
      </w:r>
      <w:r w:rsidRPr="00E31FA5">
        <w:rPr>
          <w:rFonts w:ascii="Times New Roman" w:hAnsi="Times New Roman" w:cs="Times New Roman"/>
          <w:sz w:val="24"/>
          <w:szCs w:val="24"/>
        </w:rPr>
        <w:t xml:space="preserve"> programma di scambio, assistenza e formazione per la protezione dell'euro contro la contraffazione 2021-2027   2018/0194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Erasmus per l'istruzione, la formazione, la gioventù e lo sport 2021-2027    2018/0191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Europa creativa 2021-2027  2018/0190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Tutela del bilancio dell'Unione in caso di carenze generalizzate per quanto riguarda lo Stato di diritto negli Stati membri  2018/0136 (COD)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Associazione dei paesi e territori d'oltremare con l'UE, comprese le relazioni UE / Groenlandia / Danimarca 2021-2027  2018/0244 (CNS)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specifico per l'attuazione del programma quadro Horizon Europe per la ricerca e l'innovazione 2021-2027  2018/0225 (CNS)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Sistema delle risorse proprie dell'Unione europea  2018/0135 (CNS)  (Fascicoli interistituzionali: 2018/0135 (CNS) 2020/0135 (CNS))</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Relazione intermedia sul QFP 2021-2027 - Posizione del Parlamento in vista di un accordo  2018 / 0166R (APP)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finanziario dedicato per la disattivazione degli impianti nucleari e la gestione dei rifiuti radioattivi 2021-2027  2018/0252 (NLE)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di assistenza alla disattivazione nucleare della centrale nucleare di Ignalina in Lituania (programma Ignalina)  2018/0251 (NLE)  </w:t>
      </w: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Strumento europeo per la sicurezza nucleare 2021-2027  2018/0245 (NLE)  </w:t>
      </w:r>
    </w:p>
    <w:p w:rsidR="002E7249"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Programma di ricerca e formazione Euratom 2021-2025  2018/0226 (NLE) </w:t>
      </w:r>
    </w:p>
    <w:p w:rsidR="000426C0" w:rsidRPr="00E31FA5" w:rsidRDefault="000426C0" w:rsidP="00CB7530">
      <w:pPr>
        <w:pStyle w:val="Nessunaspaziatura"/>
        <w:jc w:val="both"/>
        <w:rPr>
          <w:rFonts w:ascii="Times New Roman" w:hAnsi="Times New Roman" w:cs="Times New Roman"/>
          <w:sz w:val="24"/>
          <w:szCs w:val="24"/>
        </w:rPr>
      </w:pPr>
    </w:p>
    <w:p w:rsidR="0042313C"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La Commissione europea ha adottato</w:t>
      </w:r>
      <w:r w:rsidR="0042313C" w:rsidRPr="00E31FA5">
        <w:rPr>
          <w:rFonts w:ascii="Times New Roman" w:hAnsi="Times New Roman" w:cs="Times New Roman"/>
          <w:sz w:val="24"/>
          <w:szCs w:val="24"/>
        </w:rPr>
        <w:t>, nel mese di marzo 2021,</w:t>
      </w:r>
      <w:r w:rsidRPr="00E31FA5">
        <w:rPr>
          <w:rFonts w:ascii="Times New Roman" w:hAnsi="Times New Roman" w:cs="Times New Roman"/>
          <w:sz w:val="24"/>
          <w:szCs w:val="24"/>
        </w:rPr>
        <w:t xml:space="preserve"> il primo piano strategico di </w:t>
      </w:r>
      <w:hyperlink r:id="rId70" w:tgtFrame="_blank" w:history="1">
        <w:r w:rsidRPr="00E31FA5">
          <w:rPr>
            <w:rStyle w:val="Collegamentoipertestuale"/>
            <w:rFonts w:ascii="Times New Roman" w:hAnsi="Times New Roman" w:cs="Times New Roman"/>
            <w:color w:val="auto"/>
            <w:sz w:val="24"/>
            <w:szCs w:val="24"/>
          </w:rPr>
          <w:t>Orizzonte Europa</w:t>
        </w:r>
      </w:hyperlink>
      <w:r w:rsidRPr="00E31FA5">
        <w:rPr>
          <w:rFonts w:ascii="Times New Roman" w:hAnsi="Times New Roman" w:cs="Times New Roman"/>
          <w:sz w:val="24"/>
          <w:szCs w:val="24"/>
        </w:rPr>
        <w:t>, il nuovo programma di ricerca e innovazione dell'UE di un valore di 95,5 miliardi di € a prezzi correnti. Il piano strategico è una novità nell'ambito di Orizzonte Europa e definisce gli orientamenti strategici per determinare gli investimenti nei primi quattro anni del programma. In applicazione al piano le azioni di ricerca e innovazione dell'UE contribuiranno alle priorità dell'UE, tra cui</w:t>
      </w:r>
      <w:r w:rsidR="0042313C" w:rsidRPr="00E31FA5">
        <w:rPr>
          <w:rFonts w:ascii="Times New Roman" w:hAnsi="Times New Roman" w:cs="Times New Roman"/>
          <w:sz w:val="24"/>
          <w:szCs w:val="24"/>
        </w:rPr>
        <w:t>:</w:t>
      </w:r>
    </w:p>
    <w:p w:rsidR="0042313C" w:rsidRPr="00E31FA5" w:rsidRDefault="000426C0" w:rsidP="0042313C">
      <w:pPr>
        <w:pStyle w:val="Nessunaspaziatura"/>
        <w:numPr>
          <w:ilvl w:val="0"/>
          <w:numId w:val="20"/>
        </w:numPr>
        <w:jc w:val="both"/>
        <w:rPr>
          <w:rFonts w:ascii="Times New Roman" w:hAnsi="Times New Roman" w:cs="Times New Roman"/>
          <w:sz w:val="24"/>
          <w:szCs w:val="24"/>
        </w:rPr>
      </w:pPr>
      <w:r w:rsidRPr="00E31FA5">
        <w:rPr>
          <w:rFonts w:ascii="Times New Roman" w:hAnsi="Times New Roman" w:cs="Times New Roman"/>
          <w:sz w:val="24"/>
          <w:szCs w:val="24"/>
        </w:rPr>
        <w:t xml:space="preserve">un'Europa verde e climaticamente neutra, </w:t>
      </w:r>
    </w:p>
    <w:p w:rsidR="0042313C" w:rsidRPr="00E31FA5" w:rsidRDefault="000426C0" w:rsidP="0042313C">
      <w:pPr>
        <w:pStyle w:val="Nessunaspaziatura"/>
        <w:numPr>
          <w:ilvl w:val="0"/>
          <w:numId w:val="20"/>
        </w:numPr>
        <w:jc w:val="both"/>
        <w:rPr>
          <w:rFonts w:ascii="Times New Roman" w:hAnsi="Times New Roman" w:cs="Times New Roman"/>
          <w:sz w:val="24"/>
          <w:szCs w:val="24"/>
        </w:rPr>
      </w:pPr>
      <w:r w:rsidRPr="00E31FA5">
        <w:rPr>
          <w:rFonts w:ascii="Times New Roman" w:hAnsi="Times New Roman" w:cs="Times New Roman"/>
          <w:sz w:val="24"/>
          <w:szCs w:val="24"/>
        </w:rPr>
        <w:lastRenderedPageBreak/>
        <w:t xml:space="preserve">un'Europa pronta per l'era digitale  </w:t>
      </w:r>
    </w:p>
    <w:p w:rsidR="000426C0" w:rsidRPr="00E31FA5" w:rsidRDefault="000426C0" w:rsidP="0042313C">
      <w:pPr>
        <w:pStyle w:val="Nessunaspaziatura"/>
        <w:numPr>
          <w:ilvl w:val="0"/>
          <w:numId w:val="20"/>
        </w:numPr>
        <w:jc w:val="both"/>
        <w:rPr>
          <w:rFonts w:ascii="Times New Roman" w:hAnsi="Times New Roman" w:cs="Times New Roman"/>
          <w:sz w:val="24"/>
          <w:szCs w:val="24"/>
        </w:rPr>
      </w:pPr>
      <w:r w:rsidRPr="00E31FA5">
        <w:rPr>
          <w:rFonts w:ascii="Times New Roman" w:hAnsi="Times New Roman" w:cs="Times New Roman"/>
          <w:sz w:val="24"/>
          <w:szCs w:val="24"/>
        </w:rPr>
        <w:t>un'economia al servizio delle persone.</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Un piano ambizioso per un programma ambizioso</w:t>
      </w:r>
    </w:p>
    <w:p w:rsidR="0042313C" w:rsidRPr="00E31FA5" w:rsidRDefault="0042313C" w:rsidP="00CB7530">
      <w:pPr>
        <w:pStyle w:val="Nessunaspaziatura"/>
        <w:jc w:val="both"/>
        <w:rPr>
          <w:rFonts w:ascii="Times New Roman" w:hAnsi="Times New Roman" w:cs="Times New Roman"/>
          <w:sz w:val="24"/>
          <w:szCs w:val="24"/>
        </w:rPr>
      </w:pP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Il piano strategico definisce </w:t>
      </w:r>
      <w:r w:rsidRPr="00E31FA5">
        <w:rPr>
          <w:rFonts w:ascii="Times New Roman" w:hAnsi="Times New Roman" w:cs="Times New Roman"/>
          <w:b/>
          <w:bCs/>
          <w:sz w:val="24"/>
          <w:szCs w:val="24"/>
        </w:rPr>
        <w:t>quattro orientamenti strategici</w:t>
      </w:r>
      <w:r w:rsidRPr="00E31FA5">
        <w:rPr>
          <w:rFonts w:ascii="Times New Roman" w:hAnsi="Times New Roman" w:cs="Times New Roman"/>
          <w:sz w:val="24"/>
          <w:szCs w:val="24"/>
        </w:rPr>
        <w:t xml:space="preserve"> per gli investimenti in materia di ricerca e innovazione nell'ambito di Orizzonte Europa per i prossimi quattro anni:</w:t>
      </w:r>
    </w:p>
    <w:p w:rsidR="000426C0" w:rsidRPr="00E31FA5" w:rsidRDefault="000426C0" w:rsidP="0042313C">
      <w:pPr>
        <w:pStyle w:val="Nessunaspaziatura"/>
        <w:numPr>
          <w:ilvl w:val="0"/>
          <w:numId w:val="21"/>
        </w:numPr>
        <w:jc w:val="both"/>
        <w:rPr>
          <w:rFonts w:ascii="Times New Roman" w:hAnsi="Times New Roman" w:cs="Times New Roman"/>
          <w:sz w:val="24"/>
          <w:szCs w:val="24"/>
        </w:rPr>
      </w:pPr>
      <w:r w:rsidRPr="00E31FA5">
        <w:rPr>
          <w:rFonts w:ascii="Times New Roman" w:hAnsi="Times New Roman" w:cs="Times New Roman"/>
          <w:sz w:val="24"/>
          <w:szCs w:val="24"/>
        </w:rPr>
        <w:t>promuovere un'autonomia strategica aperta guidando lo sviluppo di tecnologie, settori e catene del valore digitali, abilitanti ed emergenti fondamentali;</w:t>
      </w:r>
    </w:p>
    <w:p w:rsidR="000426C0" w:rsidRPr="00E31FA5" w:rsidRDefault="000426C0" w:rsidP="0042313C">
      <w:pPr>
        <w:pStyle w:val="Nessunaspaziatura"/>
        <w:numPr>
          <w:ilvl w:val="0"/>
          <w:numId w:val="21"/>
        </w:numPr>
        <w:jc w:val="both"/>
        <w:rPr>
          <w:rFonts w:ascii="Times New Roman" w:hAnsi="Times New Roman" w:cs="Times New Roman"/>
          <w:sz w:val="24"/>
          <w:szCs w:val="24"/>
        </w:rPr>
      </w:pPr>
      <w:r w:rsidRPr="00E31FA5">
        <w:rPr>
          <w:rFonts w:ascii="Times New Roman" w:hAnsi="Times New Roman" w:cs="Times New Roman"/>
          <w:sz w:val="24"/>
          <w:szCs w:val="24"/>
        </w:rPr>
        <w:t>ripristinare gli ecosistemi e la biodiversità dell'Europa e gestire in modo sostenibile le risorse naturali;</w:t>
      </w:r>
    </w:p>
    <w:p w:rsidR="000426C0" w:rsidRPr="00E31FA5" w:rsidRDefault="000426C0" w:rsidP="0042313C">
      <w:pPr>
        <w:pStyle w:val="Nessunaspaziatura"/>
        <w:numPr>
          <w:ilvl w:val="0"/>
          <w:numId w:val="21"/>
        </w:numPr>
        <w:jc w:val="both"/>
        <w:rPr>
          <w:rFonts w:ascii="Times New Roman" w:hAnsi="Times New Roman" w:cs="Times New Roman"/>
          <w:sz w:val="24"/>
          <w:szCs w:val="24"/>
        </w:rPr>
      </w:pPr>
      <w:r w:rsidRPr="00E31FA5">
        <w:rPr>
          <w:rFonts w:ascii="Times New Roman" w:hAnsi="Times New Roman" w:cs="Times New Roman"/>
          <w:sz w:val="24"/>
          <w:szCs w:val="24"/>
        </w:rPr>
        <w:t>fare dell'Europa la prima economia circolare, climaticamente neutra e sostenibile, resa possibile dalla tecnologia digitale;</w:t>
      </w:r>
    </w:p>
    <w:p w:rsidR="000426C0" w:rsidRPr="00E31FA5" w:rsidRDefault="000426C0" w:rsidP="0042313C">
      <w:pPr>
        <w:pStyle w:val="Nessunaspaziatura"/>
        <w:numPr>
          <w:ilvl w:val="0"/>
          <w:numId w:val="21"/>
        </w:numPr>
        <w:jc w:val="both"/>
        <w:rPr>
          <w:rFonts w:ascii="Times New Roman" w:hAnsi="Times New Roman" w:cs="Times New Roman"/>
          <w:sz w:val="24"/>
          <w:szCs w:val="24"/>
        </w:rPr>
      </w:pPr>
      <w:r w:rsidRPr="00E31FA5">
        <w:rPr>
          <w:rFonts w:ascii="Times New Roman" w:hAnsi="Times New Roman" w:cs="Times New Roman"/>
          <w:sz w:val="24"/>
          <w:szCs w:val="24"/>
        </w:rPr>
        <w:t>creare una società europea più resiliente, inclusiva e democratica.</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La cooperazione internazionale è alla base di tutti e quattro gli orientamenti, in quanto è essenziale per affrontare molte sfide globali.</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Il piano strategico individua anche i </w:t>
      </w:r>
      <w:r w:rsidR="0042313C" w:rsidRPr="00E31FA5">
        <w:rPr>
          <w:rFonts w:ascii="Times New Roman" w:hAnsi="Times New Roman" w:cs="Times New Roman"/>
          <w:sz w:val="24"/>
          <w:szCs w:val="24"/>
        </w:rPr>
        <w:t xml:space="preserve"> </w:t>
      </w:r>
      <w:r w:rsidRPr="00E31FA5">
        <w:rPr>
          <w:rFonts w:ascii="Times New Roman" w:hAnsi="Times New Roman" w:cs="Times New Roman"/>
          <w:b/>
          <w:bCs/>
          <w:sz w:val="24"/>
          <w:szCs w:val="24"/>
        </w:rPr>
        <w:t>Partenariati europei cofinanziati e co-programmati</w:t>
      </w:r>
      <w:r w:rsidRPr="00E31FA5">
        <w:rPr>
          <w:rFonts w:ascii="Times New Roman" w:hAnsi="Times New Roman" w:cs="Times New Roman"/>
          <w:sz w:val="24"/>
          <w:szCs w:val="24"/>
        </w:rPr>
        <w:t>:</w:t>
      </w:r>
      <w:r w:rsidR="0042313C" w:rsidRPr="00E31FA5">
        <w:rPr>
          <w:rFonts w:ascii="Times New Roman" w:hAnsi="Times New Roman" w:cs="Times New Roman"/>
          <w:sz w:val="24"/>
          <w:szCs w:val="24"/>
        </w:rPr>
        <w:t xml:space="preserve">1- </w:t>
      </w:r>
    </w:p>
    <w:p w:rsidR="0042313C" w:rsidRPr="00E31FA5" w:rsidRDefault="00F21FB5" w:rsidP="0042313C">
      <w:pPr>
        <w:pStyle w:val="Nessunaspaziatura"/>
        <w:numPr>
          <w:ilvl w:val="0"/>
          <w:numId w:val="22"/>
        </w:numPr>
        <w:jc w:val="both"/>
        <w:rPr>
          <w:rFonts w:ascii="Times New Roman" w:hAnsi="Times New Roman" w:cs="Times New Roman"/>
          <w:sz w:val="24"/>
          <w:szCs w:val="24"/>
        </w:rPr>
      </w:pPr>
      <w:r w:rsidRPr="00E31FA5">
        <w:rPr>
          <w:rFonts w:ascii="Times New Roman" w:hAnsi="Times New Roman" w:cs="Times New Roman"/>
          <w:sz w:val="24"/>
          <w:szCs w:val="24"/>
        </w:rPr>
        <w:t xml:space="preserve">I partenariati europei riuniscono la Commissione europea e i partner privati e/o pubblici per affrontare alcune delle sfide più urgenti dell'Europa attraverso iniziative concertate di ricerca e innovazione. </w:t>
      </w:r>
    </w:p>
    <w:p w:rsidR="00EF7B8D" w:rsidRPr="00E31FA5" w:rsidRDefault="00F21FB5" w:rsidP="0042313C">
      <w:pPr>
        <w:pStyle w:val="Nessunaspaziatura"/>
        <w:numPr>
          <w:ilvl w:val="0"/>
          <w:numId w:val="22"/>
        </w:numPr>
        <w:jc w:val="both"/>
        <w:rPr>
          <w:rFonts w:ascii="Times New Roman" w:hAnsi="Times New Roman" w:cs="Times New Roman"/>
          <w:sz w:val="24"/>
          <w:szCs w:val="24"/>
        </w:rPr>
      </w:pPr>
      <w:r w:rsidRPr="00E31FA5">
        <w:rPr>
          <w:rFonts w:ascii="Times New Roman" w:hAnsi="Times New Roman" w:cs="Times New Roman"/>
          <w:sz w:val="24"/>
          <w:szCs w:val="24"/>
        </w:rPr>
        <w:t>Sono uno strumento chiave di attuazione di Orizzonte Europa e contribuiscono in modo significativo al raggiungimento delle priorità politiche dell'UE.</w:t>
      </w:r>
    </w:p>
    <w:p w:rsidR="00F41624" w:rsidRPr="00E31FA5" w:rsidRDefault="00F21FB5" w:rsidP="00F41624">
      <w:pPr>
        <w:pStyle w:val="Nessunaspaziatura"/>
        <w:numPr>
          <w:ilvl w:val="0"/>
          <w:numId w:val="22"/>
        </w:numPr>
        <w:jc w:val="both"/>
        <w:rPr>
          <w:rFonts w:ascii="Times New Roman" w:hAnsi="Times New Roman" w:cs="Times New Roman"/>
          <w:sz w:val="24"/>
          <w:szCs w:val="24"/>
        </w:rPr>
      </w:pPr>
      <w:r w:rsidRPr="00E31FA5">
        <w:rPr>
          <w:rFonts w:ascii="Times New Roman" w:hAnsi="Times New Roman" w:cs="Times New Roman"/>
          <w:sz w:val="24"/>
          <w:szCs w:val="24"/>
        </w:rPr>
        <w:t>Riunendo partner privati e pubblici, i partenariati europei contribuiscono ad evitare la duplicazione degli investimenti e a ridurre la frammentazione del panorama della ricerca e dell'innovazione nell'UE.</w:t>
      </w:r>
      <w:r w:rsidR="000426C0" w:rsidRPr="00E31FA5">
        <w:rPr>
          <w:rFonts w:ascii="Times New Roman" w:hAnsi="Times New Roman" w:cs="Times New Roman"/>
          <w:sz w:val="24"/>
          <w:szCs w:val="24"/>
        </w:rPr>
        <w:t xml:space="preserve"> </w:t>
      </w:r>
    </w:p>
    <w:p w:rsidR="00EF7B8D" w:rsidRPr="00E31FA5" w:rsidRDefault="00F21FB5" w:rsidP="00F41624">
      <w:pPr>
        <w:pStyle w:val="Nessunaspaziatura"/>
        <w:numPr>
          <w:ilvl w:val="0"/>
          <w:numId w:val="22"/>
        </w:numPr>
        <w:jc w:val="both"/>
        <w:rPr>
          <w:rFonts w:ascii="Times New Roman" w:hAnsi="Times New Roman" w:cs="Times New Roman"/>
          <w:sz w:val="24"/>
          <w:szCs w:val="24"/>
        </w:rPr>
      </w:pPr>
      <w:r w:rsidRPr="00E31FA5">
        <w:rPr>
          <w:rFonts w:ascii="Times New Roman" w:hAnsi="Times New Roman" w:cs="Times New Roman"/>
          <w:sz w:val="24"/>
          <w:szCs w:val="24"/>
        </w:rPr>
        <w:t>L'obiettivo dei partenariati europei con l'UE e i paesi associati, il settore privato, le fondazioni e le altre parti interessate è quello di affrontare le sfide globali e modernizzare l'industria.</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La proposta Orizzonte Europa stabilisce le condizioni e i principi per la creazione di partenariati europei. Ci sono 3 tipi.</w:t>
      </w:r>
    </w:p>
    <w:p w:rsidR="00EF7B8D"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1- </w:t>
      </w:r>
      <w:r w:rsidR="00F21FB5" w:rsidRPr="00E31FA5">
        <w:rPr>
          <w:rFonts w:ascii="Times New Roman" w:hAnsi="Times New Roman" w:cs="Times New Roman"/>
          <w:sz w:val="24"/>
          <w:szCs w:val="24"/>
        </w:rPr>
        <w:t>Partenariati europei co-programmati</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Si tratta di partenariati tra la Commissione e partner privati e/o pubblici. Essi si basano su protocolli d'intesa e/o accordi contrattuali.</w:t>
      </w:r>
    </w:p>
    <w:p w:rsidR="00EF7B8D"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2- </w:t>
      </w:r>
      <w:r w:rsidR="00F21FB5" w:rsidRPr="00E31FA5">
        <w:rPr>
          <w:rFonts w:ascii="Times New Roman" w:hAnsi="Times New Roman" w:cs="Times New Roman"/>
          <w:sz w:val="24"/>
          <w:szCs w:val="24"/>
        </w:rPr>
        <w:t>Partenariati europei cofinanziati mediante un'azione di cofinanziamento del programma</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Partenariati che coinvolgono i paesi dell'UE, con i finanziatori della ricerca e altre autorità pubbliche al centro del consorzio.</w:t>
      </w:r>
    </w:p>
    <w:p w:rsidR="00EF7B8D"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3- </w:t>
      </w:r>
      <w:r w:rsidR="00F21FB5" w:rsidRPr="00E31FA5">
        <w:rPr>
          <w:rFonts w:ascii="Times New Roman" w:hAnsi="Times New Roman" w:cs="Times New Roman"/>
          <w:sz w:val="24"/>
          <w:szCs w:val="24"/>
        </w:rPr>
        <w:t>Partenariati europei istituzionalizzati</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Si tratta di partenariati nel campo della ricerca e dell'innovazione tra l'Unione, gli Stati membri dell'UE e/o l'industria.</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Tali partenariati richiedono proposte legislative da parte della Commissione e si basano su un regolamento del Consiglio (</w:t>
      </w:r>
      <w:hyperlink r:id="rId71" w:history="1">
        <w:r w:rsidRPr="00E31FA5">
          <w:rPr>
            <w:rStyle w:val="Collegamentoipertestuale"/>
            <w:rFonts w:ascii="Times New Roman" w:hAnsi="Times New Roman" w:cs="Times New Roman"/>
            <w:color w:val="auto"/>
            <w:sz w:val="24"/>
            <w:szCs w:val="24"/>
          </w:rPr>
          <w:t>Articolo 187 b) la commissione di applicazione del</w:t>
        </w:r>
      </w:hyperlink>
      <w:r w:rsidRPr="00E31FA5">
        <w:rPr>
          <w:rFonts w:ascii="Times New Roman" w:hAnsi="Times New Roman" w:cs="Times New Roman"/>
          <w:sz w:val="24"/>
          <w:szCs w:val="24"/>
        </w:rPr>
        <w:t>) o una decisione del Parlamento europeo e del Consiglio</w:t>
      </w:r>
      <w:hyperlink r:id="rId72" w:history="1">
        <w:r w:rsidRPr="00E31FA5">
          <w:rPr>
            <w:rStyle w:val="Collegamentoipertestuale"/>
            <w:rFonts w:ascii="Times New Roman" w:hAnsi="Times New Roman" w:cs="Times New Roman"/>
            <w:color w:val="auto"/>
            <w:sz w:val="24"/>
            <w:szCs w:val="24"/>
          </w:rPr>
          <w:t>(articolo 185).</w:t>
        </w:r>
      </w:hyperlink>
      <w:r w:rsidRPr="00E31FA5">
        <w:rPr>
          <w:rFonts w:ascii="Times New Roman" w:hAnsi="Times New Roman" w:cs="Times New Roman"/>
          <w:sz w:val="24"/>
          <w:szCs w:val="24"/>
        </w:rPr>
        <w:t> Sono implementati da strutture dedicate create a tale scopo.</w:t>
      </w:r>
    </w:p>
    <w:p w:rsidR="00EF7B8D" w:rsidRPr="00E31FA5" w:rsidRDefault="00F21FB5"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I partenariati istituzionalizzati saranno attuati solo se altre parti del programma Orizzonte Europa, compresi altri tipi di partenariato, non raggiungerebbero gli obiettivi desiderati o gli impatti attesi.</w:t>
      </w:r>
    </w:p>
    <w:p w:rsidR="000426C0" w:rsidRPr="00E31FA5" w:rsidRDefault="0086067C" w:rsidP="00CB7530">
      <w:pPr>
        <w:pStyle w:val="Nessunaspaziatura"/>
        <w:jc w:val="both"/>
        <w:rPr>
          <w:rFonts w:ascii="Times New Roman" w:hAnsi="Times New Roman" w:cs="Times New Roman"/>
          <w:sz w:val="24"/>
          <w:szCs w:val="24"/>
        </w:rPr>
      </w:pPr>
      <w:hyperlink r:id="rId73" w:history="1">
        <w:r w:rsidR="00F21FB5" w:rsidRPr="00E31FA5">
          <w:rPr>
            <w:rStyle w:val="Collegamentoipertestuale"/>
            <w:rFonts w:ascii="Times New Roman" w:hAnsi="Times New Roman" w:cs="Times New Roman"/>
            <w:color w:val="auto"/>
            <w:sz w:val="24"/>
            <w:szCs w:val="24"/>
          </w:rPr>
          <w:t>Comunità della conoscenza e dell'innovazione dell'IET</w:t>
        </w:r>
      </w:hyperlink>
      <w:r w:rsidR="00F21FB5" w:rsidRPr="00E31FA5">
        <w:rPr>
          <w:rFonts w:ascii="Times New Roman" w:hAnsi="Times New Roman" w:cs="Times New Roman"/>
          <w:sz w:val="24"/>
          <w:szCs w:val="24"/>
        </w:rPr>
        <w:t> (CCI) sono anche partenariati istituzionalizzati. Le CCI dell'IET mirano ad affrontare la carenza di competenze e sono già state istituite nell'ambito di Orizzonte 2020. I principali partner delle CCI dell'IET sono gli istituti di istruzione superiore, le organizzazioni di ricerca, le imprese e le altre parti interessate</w:t>
      </w:r>
      <w:r w:rsidR="000426C0" w:rsidRPr="00E31FA5">
        <w:rPr>
          <w:rFonts w:ascii="Times New Roman" w:hAnsi="Times New Roman" w:cs="Times New Roman"/>
          <w:sz w:val="24"/>
          <w:szCs w:val="24"/>
        </w:rPr>
        <w:t>.</w:t>
      </w:r>
    </w:p>
    <w:p w:rsidR="000426C0" w:rsidRPr="00CB7530"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e le Missione dell’UE</w:t>
      </w:r>
      <w:r w:rsidRPr="00CB7530">
        <w:rPr>
          <w:rFonts w:ascii="Times New Roman" w:hAnsi="Times New Roman" w:cs="Times New Roman"/>
          <w:color w:val="FF0000"/>
          <w:sz w:val="24"/>
          <w:szCs w:val="24"/>
        </w:rPr>
        <w:t> </w:t>
      </w:r>
      <w:r w:rsidRPr="00CB7530">
        <w:rPr>
          <w:rFonts w:ascii="Times New Roman" w:hAnsi="Times New Roman" w:cs="Times New Roman"/>
          <w:color w:val="FF0000"/>
          <w:sz w:val="24"/>
          <w:szCs w:val="24"/>
        </w:rPr>
        <w:tab/>
      </w:r>
      <w:r w:rsidRPr="00CB7530">
        <w:rPr>
          <w:rFonts w:ascii="Times New Roman" w:hAnsi="Times New Roman" w:cs="Times New Roman"/>
          <w:color w:val="FF0000"/>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r w:rsidRPr="00CB7530">
        <w:rPr>
          <w:rFonts w:ascii="Times New Roman" w:hAnsi="Times New Roman" w:cs="Times New Roman"/>
          <w:sz w:val="24"/>
          <w:szCs w:val="24"/>
        </w:rPr>
        <w:tab/>
      </w:r>
    </w:p>
    <w:p w:rsidR="000426C0" w:rsidRPr="00F41624" w:rsidRDefault="000426C0" w:rsidP="00F41624">
      <w:pPr>
        <w:pStyle w:val="Nessunaspaziatura"/>
        <w:jc w:val="center"/>
        <w:rPr>
          <w:rFonts w:ascii="Times New Roman" w:hAnsi="Times New Roman" w:cs="Times New Roman"/>
          <w:b/>
          <w:bCs/>
          <w:sz w:val="24"/>
          <w:szCs w:val="24"/>
        </w:rPr>
      </w:pPr>
      <w:r w:rsidRPr="00F41624">
        <w:rPr>
          <w:rFonts w:ascii="Times New Roman" w:hAnsi="Times New Roman" w:cs="Times New Roman"/>
          <w:b/>
          <w:bCs/>
          <w:sz w:val="24"/>
          <w:szCs w:val="24"/>
        </w:rPr>
        <w:t>Aree di Missione</w:t>
      </w:r>
    </w:p>
    <w:p w:rsidR="000426C0" w:rsidRPr="00CB7530" w:rsidRDefault="000426C0" w:rsidP="00CB7530">
      <w:pPr>
        <w:pStyle w:val="Nessunaspaziatura"/>
        <w:jc w:val="both"/>
        <w:rPr>
          <w:rFonts w:ascii="Times New Roman" w:hAnsi="Times New Roman" w:cs="Times New Roman"/>
          <w:sz w:val="24"/>
          <w:szCs w:val="24"/>
        </w:rPr>
      </w:pPr>
    </w:p>
    <w:p w:rsidR="000426C0" w:rsidRPr="00F41624" w:rsidRDefault="000426C0" w:rsidP="00FE4A4C">
      <w:pPr>
        <w:pStyle w:val="Nessunaspaziatura"/>
        <w:numPr>
          <w:ilvl w:val="0"/>
          <w:numId w:val="27"/>
        </w:numPr>
        <w:jc w:val="both"/>
        <w:rPr>
          <w:rFonts w:ascii="Times New Roman" w:hAnsi="Times New Roman" w:cs="Times New Roman"/>
          <w:b/>
          <w:bCs/>
          <w:sz w:val="24"/>
          <w:szCs w:val="24"/>
        </w:rPr>
      </w:pPr>
      <w:r w:rsidRPr="00F41624">
        <w:rPr>
          <w:rFonts w:ascii="Times New Roman" w:hAnsi="Times New Roman" w:cs="Times New Roman"/>
          <w:b/>
          <w:bCs/>
          <w:sz w:val="24"/>
          <w:szCs w:val="24"/>
        </w:rPr>
        <w:t>Cancro</w:t>
      </w:r>
    </w:p>
    <w:p w:rsidR="000426C0" w:rsidRPr="00CB7530"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Missione per il cancro. Affrontare settori, politiche e soluzioni sistemiche e trasformative (governance, tecnologiche, non tecnologiche, servizi, cambiamenti di comportamento, investimenti), in campi che comprendono in particolare: prevenzione, previsione, rilevamento, diagnosi e trattamento del cancro, compresa la competenza clinica in queste aree; qualità della vita e assistenza alla fine della vita; politica e pratica della sanità pubblica; rappresentanza dei pazienti, compresi i gruppi di sostegno e la consulenza alle famiglie, innovazione e sviluppo aziendale; etica.</w:t>
      </w:r>
    </w:p>
    <w:p w:rsidR="00F41624" w:rsidRPr="00287700" w:rsidRDefault="00287700" w:rsidP="00CB7530">
      <w:pPr>
        <w:pStyle w:val="Nessunaspaziatura"/>
        <w:jc w:val="both"/>
        <w:rPr>
          <w:rFonts w:ascii="Times New Roman" w:hAnsi="Times New Roman" w:cs="Times New Roman"/>
          <w:b/>
          <w:bCs/>
          <w:i/>
          <w:iCs/>
          <w:sz w:val="24"/>
          <w:szCs w:val="24"/>
        </w:rPr>
      </w:pPr>
      <w:r w:rsidRPr="00287700">
        <w:rPr>
          <w:rFonts w:ascii="Times New Roman" w:hAnsi="Times New Roman" w:cs="Times New Roman"/>
          <w:b/>
          <w:bCs/>
          <w:i/>
          <w:iCs/>
          <w:sz w:val="24"/>
          <w:szCs w:val="24"/>
        </w:rPr>
        <w:t>obiettivi della</w:t>
      </w:r>
      <w:r w:rsidR="00F41624" w:rsidRPr="00287700">
        <w:rPr>
          <w:rFonts w:ascii="Times New Roman" w:hAnsi="Times New Roman" w:cs="Times New Roman"/>
          <w:b/>
          <w:bCs/>
          <w:i/>
          <w:iCs/>
          <w:sz w:val="24"/>
          <w:szCs w:val="24"/>
        </w:rPr>
        <w:t xml:space="preserve"> Missione cancro, </w:t>
      </w:r>
      <w:r w:rsidR="000426C0" w:rsidRPr="00287700">
        <w:rPr>
          <w:rFonts w:ascii="Times New Roman" w:hAnsi="Times New Roman" w:cs="Times New Roman"/>
          <w:b/>
          <w:bCs/>
          <w:i/>
          <w:iCs/>
          <w:sz w:val="24"/>
          <w:szCs w:val="24"/>
        </w:rPr>
        <w:t xml:space="preserve">entro il 2030: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oltre 3 milioni di vite in più salvate,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vivere più a lungo e meglio,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raggiungere una conoscenza approfondita del cancro,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prevenire ciò che è prevenibile,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ottimizzare diagnosi e trattamento, </w:t>
      </w:r>
    </w:p>
    <w:p w:rsidR="00F41624"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sostenere la qualità della vita di tutte le persone esposte al cancro </w:t>
      </w:r>
    </w:p>
    <w:p w:rsidR="000426C0" w:rsidRPr="00CB7530" w:rsidRDefault="000426C0" w:rsidP="00F41624">
      <w:pPr>
        <w:pStyle w:val="Nessunaspaziatura"/>
        <w:numPr>
          <w:ilvl w:val="0"/>
          <w:numId w:val="23"/>
        </w:numPr>
        <w:jc w:val="both"/>
        <w:rPr>
          <w:rFonts w:ascii="Times New Roman" w:hAnsi="Times New Roman" w:cs="Times New Roman"/>
          <w:sz w:val="24"/>
          <w:szCs w:val="24"/>
        </w:rPr>
      </w:pPr>
      <w:r w:rsidRPr="00CB7530">
        <w:rPr>
          <w:rFonts w:ascii="Times New Roman" w:hAnsi="Times New Roman" w:cs="Times New Roman"/>
          <w:sz w:val="24"/>
          <w:szCs w:val="24"/>
        </w:rPr>
        <w:t xml:space="preserve">garantire un accesso equo a quanto sopra in tutta Europa. </w:t>
      </w:r>
    </w:p>
    <w:p w:rsidR="000426C0" w:rsidRPr="00CB7530" w:rsidRDefault="000426C0" w:rsidP="00CB7530">
      <w:pPr>
        <w:pStyle w:val="Nessunaspaziatura"/>
        <w:jc w:val="both"/>
        <w:rPr>
          <w:rFonts w:ascii="Times New Roman" w:hAnsi="Times New Roman" w:cs="Times New Roman"/>
          <w:sz w:val="24"/>
          <w:szCs w:val="24"/>
        </w:rPr>
      </w:pPr>
    </w:p>
    <w:p w:rsidR="000426C0" w:rsidRPr="00F41624" w:rsidRDefault="000426C0" w:rsidP="00FE4A4C">
      <w:pPr>
        <w:pStyle w:val="Nessunaspaziatura"/>
        <w:numPr>
          <w:ilvl w:val="0"/>
          <w:numId w:val="27"/>
        </w:numPr>
        <w:jc w:val="both"/>
        <w:rPr>
          <w:rFonts w:ascii="Times New Roman" w:hAnsi="Times New Roman" w:cs="Times New Roman"/>
          <w:b/>
          <w:bCs/>
          <w:sz w:val="24"/>
          <w:szCs w:val="24"/>
        </w:rPr>
      </w:pPr>
      <w:r w:rsidRPr="00F41624">
        <w:rPr>
          <w:rFonts w:ascii="Times New Roman" w:hAnsi="Times New Roman" w:cs="Times New Roman"/>
          <w:b/>
          <w:bCs/>
          <w:sz w:val="24"/>
          <w:szCs w:val="24"/>
        </w:rPr>
        <w:t>Adattamento ai cambiamenti climatici, cambiamento della società</w:t>
      </w:r>
    </w:p>
    <w:p w:rsidR="00DC46B5"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Missione per l'adattamento ai cambiamenti climatici, compresa la trasformazione della società. Affrontare settori, politiche e soluzioni sistemiche e trasformative (governance, tecnologiche, non tecnologiche, servizi, cambiamenti di comportamento, investimenti) in campi che comprendono in particolare: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adattamento e mitigazione dei cambiamenti climatici;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servizi climatici;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risorse naturali;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soluzioni sistemiche e basate sulla natura;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difesa dell'ambiente e impegno dei cittadini;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produzione e consumo sostenibili;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riduzione e gestione del rischio di disastri, compresa la salute pubblica e le infrastrutture critiche;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sviluppo internazionale nel campo dei cambiamenti climatici;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comunicazione scientifica;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gestione delle acque; </w:t>
      </w:r>
    </w:p>
    <w:p w:rsidR="00DC46B5" w:rsidRDefault="000426C0" w:rsidP="00DC46B5">
      <w:pPr>
        <w:pStyle w:val="Nessunaspaziatura"/>
        <w:numPr>
          <w:ilvl w:val="0"/>
          <w:numId w:val="25"/>
        </w:numPr>
        <w:jc w:val="both"/>
        <w:rPr>
          <w:rFonts w:ascii="Times New Roman" w:hAnsi="Times New Roman" w:cs="Times New Roman"/>
          <w:sz w:val="24"/>
          <w:szCs w:val="24"/>
        </w:rPr>
      </w:pPr>
      <w:r w:rsidRPr="00CB7530">
        <w:rPr>
          <w:rFonts w:ascii="Times New Roman" w:hAnsi="Times New Roman" w:cs="Times New Roman"/>
          <w:sz w:val="24"/>
          <w:szCs w:val="24"/>
        </w:rPr>
        <w:t xml:space="preserve">biodiversità; </w:t>
      </w:r>
    </w:p>
    <w:p w:rsidR="000426C0" w:rsidRPr="00CB7530" w:rsidRDefault="000426C0" w:rsidP="00DC46B5">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agricoltura, finanza e assicurazioni.</w:t>
      </w:r>
    </w:p>
    <w:p w:rsidR="00287700" w:rsidRPr="00287700" w:rsidRDefault="000426C0" w:rsidP="00CB7530">
      <w:pPr>
        <w:pStyle w:val="Nessunaspaziatura"/>
        <w:jc w:val="both"/>
        <w:rPr>
          <w:rFonts w:ascii="Times New Roman" w:hAnsi="Times New Roman" w:cs="Times New Roman"/>
          <w:b/>
          <w:bCs/>
          <w:i/>
          <w:iCs/>
          <w:sz w:val="24"/>
          <w:szCs w:val="24"/>
        </w:rPr>
      </w:pPr>
      <w:r w:rsidRPr="00287700">
        <w:rPr>
          <w:rFonts w:ascii="Times New Roman" w:hAnsi="Times New Roman" w:cs="Times New Roman"/>
          <w:b/>
          <w:bCs/>
          <w:i/>
          <w:iCs/>
          <w:sz w:val="24"/>
          <w:szCs w:val="24"/>
        </w:rPr>
        <w:t xml:space="preserve">Obiettivi </w:t>
      </w:r>
      <w:r w:rsidR="00287700" w:rsidRPr="00287700">
        <w:rPr>
          <w:rFonts w:ascii="Times New Roman" w:hAnsi="Times New Roman" w:cs="Times New Roman"/>
          <w:b/>
          <w:bCs/>
          <w:i/>
          <w:iCs/>
          <w:sz w:val="24"/>
          <w:szCs w:val="24"/>
        </w:rPr>
        <w:t xml:space="preserve">della Missione </w:t>
      </w:r>
      <w:r w:rsidRPr="00287700">
        <w:rPr>
          <w:rFonts w:ascii="Times New Roman" w:hAnsi="Times New Roman" w:cs="Times New Roman"/>
          <w:b/>
          <w:bCs/>
          <w:i/>
          <w:iCs/>
          <w:sz w:val="24"/>
          <w:szCs w:val="24"/>
        </w:rPr>
        <w:t xml:space="preserve">entro il 2030: </w:t>
      </w:r>
    </w:p>
    <w:p w:rsidR="00287700" w:rsidRDefault="000426C0" w:rsidP="00287700">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preparare l'Europa ad affrontare le perturbazioni climatiche, </w:t>
      </w:r>
    </w:p>
    <w:p w:rsidR="00287700" w:rsidRDefault="000426C0" w:rsidP="00287700">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accelerare la transizione verso un futuro sano e prospero entro confini e scala planetari sicuri </w:t>
      </w:r>
    </w:p>
    <w:p w:rsidR="000426C0" w:rsidRPr="00CB7530" w:rsidRDefault="000426C0" w:rsidP="00287700">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trovare soluzioni per la resilienza che innescheranno trasformazioni nella società.</w:t>
      </w:r>
    </w:p>
    <w:p w:rsidR="000426C0" w:rsidRPr="00CB7530" w:rsidRDefault="000426C0" w:rsidP="00CB7530">
      <w:pPr>
        <w:pStyle w:val="Nessunaspaziatura"/>
        <w:jc w:val="both"/>
        <w:rPr>
          <w:rFonts w:ascii="Times New Roman" w:hAnsi="Times New Roman" w:cs="Times New Roman"/>
          <w:sz w:val="24"/>
          <w:szCs w:val="24"/>
        </w:rPr>
      </w:pPr>
    </w:p>
    <w:p w:rsidR="000426C0" w:rsidRPr="007758C8" w:rsidRDefault="000426C0" w:rsidP="00FE4A4C">
      <w:pPr>
        <w:pStyle w:val="Nessunaspaziatura"/>
        <w:numPr>
          <w:ilvl w:val="0"/>
          <w:numId w:val="27"/>
        </w:numPr>
        <w:jc w:val="both"/>
        <w:rPr>
          <w:rFonts w:ascii="Times New Roman" w:hAnsi="Times New Roman" w:cs="Times New Roman"/>
          <w:b/>
          <w:bCs/>
          <w:sz w:val="24"/>
          <w:szCs w:val="24"/>
        </w:rPr>
      </w:pPr>
      <w:r w:rsidRPr="007758C8">
        <w:rPr>
          <w:rFonts w:ascii="Times New Roman" w:hAnsi="Times New Roman" w:cs="Times New Roman"/>
          <w:b/>
          <w:bCs/>
          <w:sz w:val="24"/>
          <w:szCs w:val="24"/>
        </w:rPr>
        <w:t xml:space="preserve">Oceani sani, mari costieri, e acque interne </w:t>
      </w:r>
    </w:p>
    <w:p w:rsidR="007758C8"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Missione per Oceani sani, mari, acque costiere e interne. Affrontare settori, politiche e soluzioni sistemiche e trasformative (governance, tecnologiche, non tecnologiche, servizi, cambiamenti di comportamento, investimenti), in campi che comprendono in particolare soluzioni sistemiche per</w:t>
      </w:r>
      <w:r w:rsidR="007758C8">
        <w:rPr>
          <w:rFonts w:ascii="Times New Roman" w:hAnsi="Times New Roman" w:cs="Times New Roman"/>
          <w:sz w:val="24"/>
          <w:szCs w:val="24"/>
        </w:rPr>
        <w:t>:</w:t>
      </w:r>
      <w:r w:rsidRPr="00CB7530">
        <w:rPr>
          <w:rFonts w:ascii="Times New Roman" w:hAnsi="Times New Roman" w:cs="Times New Roman"/>
          <w:sz w:val="24"/>
          <w:szCs w:val="24"/>
        </w:rPr>
        <w:t xml:space="preserve">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la prevenzione, la riduzione, l'attenuazione e la rimozione dell'inquinamento marino, compresa la plastica;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la transizione verso un'economia circolare e blu;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la sensibilizzazione del pubblico;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gli utenti interessati dalla necessità di adattarsi e mitigare l'inquinamento e il cambiamento climatico nell'oceano;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l'uso sostenibile e la gestione delle risorse oceaniche;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lastRenderedPageBreak/>
        <w:t xml:space="preserve">lo sviluppo di nuovi materiali, compresi i sostituti della plastica biodegradabile, nuovi mangimi e alimenti; </w:t>
      </w:r>
    </w:p>
    <w:p w:rsidR="007758C8"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la pianificazione dello spazio urbano, costiero e marittimo; </w:t>
      </w:r>
    </w:p>
    <w:p w:rsidR="00FE4A4C"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 xml:space="preserve">la governance degli oceani; </w:t>
      </w:r>
    </w:p>
    <w:p w:rsidR="000426C0" w:rsidRPr="00CB7530" w:rsidRDefault="000426C0" w:rsidP="00FE4A4C">
      <w:pPr>
        <w:pStyle w:val="Nessunaspaziatura"/>
        <w:numPr>
          <w:ilvl w:val="0"/>
          <w:numId w:val="24"/>
        </w:numPr>
        <w:jc w:val="both"/>
        <w:rPr>
          <w:rFonts w:ascii="Times New Roman" w:hAnsi="Times New Roman" w:cs="Times New Roman"/>
          <w:sz w:val="24"/>
          <w:szCs w:val="24"/>
        </w:rPr>
      </w:pPr>
      <w:r w:rsidRPr="00CB7530">
        <w:rPr>
          <w:rFonts w:ascii="Times New Roman" w:hAnsi="Times New Roman" w:cs="Times New Roman"/>
          <w:sz w:val="24"/>
          <w:szCs w:val="24"/>
        </w:rPr>
        <w:t>l'economia oceanica applicata alle attività marittime.</w:t>
      </w:r>
    </w:p>
    <w:p w:rsidR="00FE4A4C" w:rsidRPr="00FE4A4C" w:rsidRDefault="000426C0" w:rsidP="00CB7530">
      <w:pPr>
        <w:pStyle w:val="Nessunaspaziatura"/>
        <w:jc w:val="both"/>
        <w:rPr>
          <w:rFonts w:ascii="Times New Roman" w:hAnsi="Times New Roman" w:cs="Times New Roman"/>
          <w:b/>
          <w:bCs/>
          <w:i/>
          <w:iCs/>
          <w:sz w:val="24"/>
          <w:szCs w:val="24"/>
        </w:rPr>
      </w:pPr>
      <w:r w:rsidRPr="00FE4A4C">
        <w:rPr>
          <w:rFonts w:ascii="Times New Roman" w:hAnsi="Times New Roman" w:cs="Times New Roman"/>
          <w:b/>
          <w:bCs/>
          <w:i/>
          <w:iCs/>
          <w:sz w:val="24"/>
          <w:szCs w:val="24"/>
        </w:rPr>
        <w:t xml:space="preserve">Obiettivi </w:t>
      </w:r>
      <w:r w:rsidR="00FE4A4C" w:rsidRPr="00FE4A4C">
        <w:rPr>
          <w:rFonts w:ascii="Times New Roman" w:hAnsi="Times New Roman" w:cs="Times New Roman"/>
          <w:b/>
          <w:bCs/>
          <w:i/>
          <w:iCs/>
          <w:sz w:val="24"/>
          <w:szCs w:val="24"/>
        </w:rPr>
        <w:t xml:space="preserve">della Missione </w:t>
      </w:r>
      <w:r w:rsidRPr="00FE4A4C">
        <w:rPr>
          <w:rFonts w:ascii="Times New Roman" w:hAnsi="Times New Roman" w:cs="Times New Roman"/>
          <w:b/>
          <w:bCs/>
          <w:i/>
          <w:iCs/>
          <w:sz w:val="24"/>
          <w:szCs w:val="24"/>
        </w:rPr>
        <w:t xml:space="preserve">entro il 2030: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pulizia delle acque marine e dolci,</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ripristino di ecosistemi e habitat degradati, </w:t>
      </w:r>
    </w:p>
    <w:p w:rsidR="000426C0" w:rsidRPr="00CB7530"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decarbonizzazione dell'economia blu al fine di sfruttare in modo sostenibile i beni e i servizi essenziali che forniscono.</w:t>
      </w:r>
    </w:p>
    <w:p w:rsidR="000426C0" w:rsidRPr="00CB7530"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 </w:t>
      </w:r>
    </w:p>
    <w:p w:rsidR="000426C0" w:rsidRPr="00FE4A4C" w:rsidRDefault="000426C0" w:rsidP="00FE4A4C">
      <w:pPr>
        <w:pStyle w:val="Nessunaspaziatura"/>
        <w:numPr>
          <w:ilvl w:val="0"/>
          <w:numId w:val="27"/>
        </w:numPr>
        <w:jc w:val="both"/>
        <w:rPr>
          <w:rFonts w:ascii="Times New Roman" w:hAnsi="Times New Roman" w:cs="Times New Roman"/>
          <w:b/>
          <w:bCs/>
          <w:sz w:val="24"/>
          <w:szCs w:val="24"/>
        </w:rPr>
      </w:pPr>
      <w:r w:rsidRPr="00FE4A4C">
        <w:rPr>
          <w:rFonts w:ascii="Times New Roman" w:hAnsi="Times New Roman" w:cs="Times New Roman"/>
          <w:b/>
          <w:bCs/>
          <w:sz w:val="24"/>
          <w:szCs w:val="24"/>
        </w:rPr>
        <w:t xml:space="preserve">Città climaticamente neutre e intelligenti </w:t>
      </w:r>
    </w:p>
    <w:p w:rsidR="00FE4A4C"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Missione per le città climaticamente neutre e intelligenti. Affrontare settori e politiche per soluzioni sistemiche e trasformative (governance, tecnologiche, non tecnologiche, servizi, cambiamenti di comportamento, investimenti), in campi che comprendono in particolare: </w:t>
      </w:r>
    </w:p>
    <w:p w:rsidR="00FE4A4C"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mitigazione e adattamento al cambiamento climatico;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qualità dell'aria;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pianificazione territoriale (incl. spazi urbani e verdi) e sviluppo;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edifici efficienti dal punto di vista energetico (retrofitting);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infrastrutture e reti urbane, compresi i sistemi di trasporto e logistica, energia, ICT e acqua;</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trasformazione dell'energia pulita;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produzione urbana;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circolarità e rigenerazione urbana;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servizi ecosistemici e soluzioni basate sulla natura;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salute pubblica e benessere nelle città;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resilienza urbana; </w:t>
      </w:r>
    </w:p>
    <w:p w:rsidR="000426C0" w:rsidRPr="00CB7530"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impatti sociali del cambiamento climatico. </w:t>
      </w:r>
    </w:p>
    <w:p w:rsidR="00FE4A4C" w:rsidRPr="00FE4A4C" w:rsidRDefault="000426C0" w:rsidP="00CB7530">
      <w:pPr>
        <w:pStyle w:val="Nessunaspaziatura"/>
        <w:jc w:val="both"/>
        <w:rPr>
          <w:rFonts w:ascii="Times New Roman" w:hAnsi="Times New Roman" w:cs="Times New Roman"/>
          <w:b/>
          <w:bCs/>
          <w:i/>
          <w:iCs/>
          <w:sz w:val="24"/>
          <w:szCs w:val="24"/>
        </w:rPr>
      </w:pPr>
      <w:r w:rsidRPr="00FE4A4C">
        <w:rPr>
          <w:rFonts w:ascii="Times New Roman" w:hAnsi="Times New Roman" w:cs="Times New Roman"/>
          <w:b/>
          <w:bCs/>
          <w:i/>
          <w:iCs/>
          <w:sz w:val="24"/>
          <w:szCs w:val="24"/>
        </w:rPr>
        <w:t xml:space="preserve">Obiettivi </w:t>
      </w:r>
      <w:r w:rsidR="00FE4A4C" w:rsidRPr="00FE4A4C">
        <w:rPr>
          <w:rFonts w:ascii="Times New Roman" w:hAnsi="Times New Roman" w:cs="Times New Roman"/>
          <w:b/>
          <w:bCs/>
          <w:i/>
          <w:iCs/>
          <w:sz w:val="24"/>
          <w:szCs w:val="24"/>
        </w:rPr>
        <w:t xml:space="preserve">della Missione </w:t>
      </w:r>
      <w:r w:rsidRPr="00FE4A4C">
        <w:rPr>
          <w:rFonts w:ascii="Times New Roman" w:hAnsi="Times New Roman" w:cs="Times New Roman"/>
          <w:b/>
          <w:bCs/>
          <w:i/>
          <w:iCs/>
          <w:sz w:val="24"/>
          <w:szCs w:val="24"/>
        </w:rPr>
        <w:t xml:space="preserve">entro il 2030: </w:t>
      </w:r>
    </w:p>
    <w:p w:rsidR="00FE4A4C" w:rsidRDefault="000426C0" w:rsidP="00FE4A4C">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sostenere, promuovere e mostrare 100 città europee nella loro trasformazione sistemica verso la neutralità climatica entro il 2030 </w:t>
      </w:r>
    </w:p>
    <w:p w:rsidR="000426C0" w:rsidRPr="00CB7530" w:rsidRDefault="00FE4A4C" w:rsidP="00FE4A4C">
      <w:pPr>
        <w:pStyle w:val="Nessunaspaziatura"/>
        <w:numPr>
          <w:ilvl w:val="0"/>
          <w:numId w:val="26"/>
        </w:numPr>
        <w:jc w:val="both"/>
        <w:rPr>
          <w:rFonts w:ascii="Times New Roman" w:hAnsi="Times New Roman" w:cs="Times New Roman"/>
          <w:sz w:val="24"/>
          <w:szCs w:val="24"/>
        </w:rPr>
      </w:pPr>
      <w:r>
        <w:rPr>
          <w:rFonts w:ascii="Times New Roman" w:hAnsi="Times New Roman" w:cs="Times New Roman"/>
          <w:sz w:val="24"/>
          <w:szCs w:val="24"/>
        </w:rPr>
        <w:t>t</w:t>
      </w:r>
      <w:r w:rsidR="000426C0" w:rsidRPr="00CB7530">
        <w:rPr>
          <w:rFonts w:ascii="Times New Roman" w:hAnsi="Times New Roman" w:cs="Times New Roman"/>
          <w:sz w:val="24"/>
          <w:szCs w:val="24"/>
        </w:rPr>
        <w:t>rasformare queste città in centri di innovazione per tutte le città, a vantaggio della qualità della vita e sostenibilità in Europa.</w:t>
      </w:r>
    </w:p>
    <w:p w:rsidR="000426C0" w:rsidRPr="00CB7530" w:rsidRDefault="000426C0" w:rsidP="00CB7530">
      <w:pPr>
        <w:pStyle w:val="Nessunaspaziatura"/>
        <w:jc w:val="both"/>
        <w:rPr>
          <w:rFonts w:ascii="Times New Roman" w:hAnsi="Times New Roman" w:cs="Times New Roman"/>
          <w:sz w:val="24"/>
          <w:szCs w:val="24"/>
        </w:rPr>
      </w:pPr>
    </w:p>
    <w:p w:rsidR="000426C0" w:rsidRPr="00420C91" w:rsidRDefault="000426C0" w:rsidP="00420C91">
      <w:pPr>
        <w:pStyle w:val="Nessunaspaziatura"/>
        <w:numPr>
          <w:ilvl w:val="0"/>
          <w:numId w:val="27"/>
        </w:numPr>
        <w:jc w:val="both"/>
        <w:rPr>
          <w:rFonts w:ascii="Times New Roman" w:hAnsi="Times New Roman" w:cs="Times New Roman"/>
          <w:b/>
          <w:bCs/>
          <w:sz w:val="24"/>
          <w:szCs w:val="24"/>
        </w:rPr>
      </w:pPr>
      <w:r w:rsidRPr="00420C91">
        <w:rPr>
          <w:rFonts w:ascii="Times New Roman" w:hAnsi="Times New Roman" w:cs="Times New Roman"/>
          <w:b/>
          <w:bCs/>
          <w:sz w:val="24"/>
          <w:szCs w:val="24"/>
        </w:rPr>
        <w:t xml:space="preserve">Salute del suolo e cibo </w:t>
      </w:r>
    </w:p>
    <w:p w:rsidR="00420C91"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 xml:space="preserve">Missione per la salute del suolo e l'alimentazione. Affrontare settori e politiche per soluzioni sistemiche e trasformative (governance, tecnologiche, non tecnologiche, servizi, cambiamenti di comportamento, investimenti), in campi che comprendono: </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la gestione del suolo in agricoltura e silvicoltura per la sicurezza alimentare e nutrizionale, e la fornitura di prodotti non alimentari e beni pubblici; </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la gestione del suolo oltre l'agricoltura e la silvicoltura, ad esempio torbiere, zone umide;</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ripristino e bonifica dei suoli, aree industriali dismesse, impermeabilizzazione del suolo; </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potenziale dei suoli e delle pratiche di gestione del suolo per la mitigazione e l'adattamento al clima; </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funzioni del suolo e servizi ecosistemici, e il ruolo delle pratiche per migliorare la salute del suolo; gestione sostenibile del territorio, uso del suolo e cambiamento di uso del suolo, pianificazione territoriale; </w:t>
      </w:r>
    </w:p>
    <w:p w:rsidR="00420C91"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ecologia, agro-ecologia, microbiologia del suolo; </w:t>
      </w:r>
    </w:p>
    <w:p w:rsidR="000426C0" w:rsidRPr="00CB7530" w:rsidRDefault="000426C0" w:rsidP="00420C91">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scienza dei sistemi / approcci sistemici, considerando gli impatti finanziari del degrado del suolo e della terra.</w:t>
      </w:r>
    </w:p>
    <w:p w:rsidR="00420C91" w:rsidRPr="00420C91" w:rsidRDefault="000426C0" w:rsidP="00CB7530">
      <w:pPr>
        <w:pStyle w:val="Nessunaspaziatura"/>
        <w:jc w:val="both"/>
        <w:rPr>
          <w:rFonts w:ascii="Times New Roman" w:hAnsi="Times New Roman" w:cs="Times New Roman"/>
          <w:b/>
          <w:bCs/>
          <w:i/>
          <w:iCs/>
          <w:sz w:val="24"/>
          <w:szCs w:val="24"/>
        </w:rPr>
      </w:pPr>
      <w:r w:rsidRPr="00420C91">
        <w:rPr>
          <w:rFonts w:ascii="Times New Roman" w:hAnsi="Times New Roman" w:cs="Times New Roman"/>
          <w:b/>
          <w:bCs/>
          <w:i/>
          <w:iCs/>
          <w:sz w:val="24"/>
          <w:szCs w:val="24"/>
        </w:rPr>
        <w:t xml:space="preserve">Obiettivi </w:t>
      </w:r>
      <w:r w:rsidR="00420C91" w:rsidRPr="00420C91">
        <w:rPr>
          <w:rFonts w:ascii="Times New Roman" w:hAnsi="Times New Roman" w:cs="Times New Roman"/>
          <w:b/>
          <w:bCs/>
          <w:i/>
          <w:iCs/>
          <w:sz w:val="24"/>
          <w:szCs w:val="24"/>
        </w:rPr>
        <w:t xml:space="preserve"> della Missione </w:t>
      </w:r>
      <w:r w:rsidRPr="00420C91">
        <w:rPr>
          <w:rFonts w:ascii="Times New Roman" w:hAnsi="Times New Roman" w:cs="Times New Roman"/>
          <w:b/>
          <w:bCs/>
          <w:i/>
          <w:iCs/>
          <w:sz w:val="24"/>
          <w:szCs w:val="24"/>
        </w:rPr>
        <w:t xml:space="preserve">entro il 2030: </w:t>
      </w:r>
    </w:p>
    <w:p w:rsidR="00923693"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lastRenderedPageBreak/>
        <w:t xml:space="preserve">almeno il 75% di tutti i suoli nell'UE </w:t>
      </w:r>
      <w:r w:rsidR="00923693">
        <w:rPr>
          <w:rFonts w:ascii="Times New Roman" w:hAnsi="Times New Roman" w:cs="Times New Roman"/>
          <w:sz w:val="24"/>
          <w:szCs w:val="24"/>
        </w:rPr>
        <w:t xml:space="preserve">devono essere </w:t>
      </w:r>
      <w:r w:rsidRPr="00CB7530">
        <w:rPr>
          <w:rFonts w:ascii="Times New Roman" w:hAnsi="Times New Roman" w:cs="Times New Roman"/>
          <w:sz w:val="24"/>
          <w:szCs w:val="24"/>
        </w:rPr>
        <w:t xml:space="preserve"> sani per il cibo, </w:t>
      </w:r>
      <w:r w:rsidR="00923693">
        <w:rPr>
          <w:rFonts w:ascii="Times New Roman" w:hAnsi="Times New Roman" w:cs="Times New Roman"/>
          <w:sz w:val="24"/>
          <w:szCs w:val="24"/>
        </w:rPr>
        <w:t xml:space="preserve">per </w:t>
      </w:r>
      <w:r w:rsidRPr="00CB7530">
        <w:rPr>
          <w:rFonts w:ascii="Times New Roman" w:hAnsi="Times New Roman" w:cs="Times New Roman"/>
          <w:sz w:val="24"/>
          <w:szCs w:val="24"/>
        </w:rPr>
        <w:t xml:space="preserve">le persone, </w:t>
      </w:r>
      <w:r w:rsidR="00923693">
        <w:rPr>
          <w:rFonts w:ascii="Times New Roman" w:hAnsi="Times New Roman" w:cs="Times New Roman"/>
          <w:sz w:val="24"/>
          <w:szCs w:val="24"/>
        </w:rPr>
        <w:t xml:space="preserve">per </w:t>
      </w:r>
      <w:r w:rsidRPr="00CB7530">
        <w:rPr>
          <w:rFonts w:ascii="Times New Roman" w:hAnsi="Times New Roman" w:cs="Times New Roman"/>
          <w:sz w:val="24"/>
          <w:szCs w:val="24"/>
        </w:rPr>
        <w:t xml:space="preserve">la natura e </w:t>
      </w:r>
      <w:r w:rsidR="00923693">
        <w:rPr>
          <w:rFonts w:ascii="Times New Roman" w:hAnsi="Times New Roman" w:cs="Times New Roman"/>
          <w:sz w:val="24"/>
          <w:szCs w:val="24"/>
        </w:rPr>
        <w:t xml:space="preserve">per </w:t>
      </w:r>
      <w:r w:rsidRPr="00CB7530">
        <w:rPr>
          <w:rFonts w:ascii="Times New Roman" w:hAnsi="Times New Roman" w:cs="Times New Roman"/>
          <w:sz w:val="24"/>
          <w:szCs w:val="24"/>
        </w:rPr>
        <w:t>il clima. La missione proposta unisce</w:t>
      </w:r>
      <w:r w:rsidR="00923693">
        <w:rPr>
          <w:rFonts w:ascii="Times New Roman" w:hAnsi="Times New Roman" w:cs="Times New Roman"/>
          <w:sz w:val="24"/>
          <w:szCs w:val="24"/>
        </w:rPr>
        <w:t>:</w:t>
      </w:r>
      <w:r w:rsidRPr="00CB7530">
        <w:rPr>
          <w:rFonts w:ascii="Times New Roman" w:hAnsi="Times New Roman" w:cs="Times New Roman"/>
          <w:sz w:val="24"/>
          <w:szCs w:val="24"/>
        </w:rPr>
        <w:t xml:space="preserve"> </w:t>
      </w:r>
    </w:p>
    <w:p w:rsidR="00923693" w:rsidRDefault="000426C0" w:rsidP="00923693">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ricerca e innovazione, </w:t>
      </w:r>
    </w:p>
    <w:p w:rsidR="00923693" w:rsidRDefault="000426C0" w:rsidP="00923693">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 xml:space="preserve">istruzione e formazione, </w:t>
      </w:r>
    </w:p>
    <w:p w:rsidR="000426C0" w:rsidRPr="00CB7530" w:rsidRDefault="000426C0" w:rsidP="00923693">
      <w:pPr>
        <w:pStyle w:val="Nessunaspaziatura"/>
        <w:numPr>
          <w:ilvl w:val="0"/>
          <w:numId w:val="26"/>
        </w:numPr>
        <w:jc w:val="both"/>
        <w:rPr>
          <w:rFonts w:ascii="Times New Roman" w:hAnsi="Times New Roman" w:cs="Times New Roman"/>
          <w:sz w:val="24"/>
          <w:szCs w:val="24"/>
        </w:rPr>
      </w:pPr>
      <w:r w:rsidRPr="00CB7530">
        <w:rPr>
          <w:rFonts w:ascii="Times New Roman" w:hAnsi="Times New Roman" w:cs="Times New Roman"/>
          <w:sz w:val="24"/>
          <w:szCs w:val="24"/>
        </w:rPr>
        <w:t>investimenti e dimostrazione di buone pratiche utilizzando “Living labs” (esperimenti e innovazione in un laboratorio a terra) e “Lighthouse” (luoghi per mostrare buone pratiche).</w:t>
      </w:r>
    </w:p>
    <w:p w:rsidR="000426C0" w:rsidRPr="00CB7530" w:rsidRDefault="000426C0" w:rsidP="00CB7530">
      <w:pPr>
        <w:pStyle w:val="Nessunaspaziatura"/>
        <w:jc w:val="both"/>
        <w:rPr>
          <w:rFonts w:ascii="Times New Roman" w:hAnsi="Times New Roman" w:cs="Times New Roman"/>
          <w:sz w:val="24"/>
          <w:szCs w:val="24"/>
        </w:rPr>
      </w:pPr>
    </w:p>
    <w:p w:rsidR="000426C0" w:rsidRPr="00923693" w:rsidRDefault="000426C0" w:rsidP="00CB7530">
      <w:pPr>
        <w:pStyle w:val="Nessunaspaziatura"/>
        <w:jc w:val="both"/>
        <w:rPr>
          <w:rFonts w:ascii="Times New Roman" w:hAnsi="Times New Roman" w:cs="Times New Roman"/>
          <w:b/>
          <w:bCs/>
          <w:sz w:val="24"/>
          <w:szCs w:val="24"/>
        </w:rPr>
      </w:pPr>
      <w:r w:rsidRPr="00923693">
        <w:rPr>
          <w:rFonts w:ascii="Times New Roman" w:hAnsi="Times New Roman" w:cs="Times New Roman"/>
          <w:b/>
          <w:bCs/>
          <w:sz w:val="24"/>
          <w:szCs w:val="24"/>
        </w:rPr>
        <w:t>Quando inizieranno le missioni? </w:t>
      </w:r>
    </w:p>
    <w:p w:rsidR="000426C0" w:rsidRPr="00CB7530" w:rsidRDefault="000426C0" w:rsidP="00CB7530">
      <w:pPr>
        <w:pStyle w:val="Nessunaspaziatura"/>
        <w:jc w:val="both"/>
        <w:rPr>
          <w:rFonts w:ascii="Times New Roman" w:hAnsi="Times New Roman" w:cs="Times New Roman"/>
          <w:sz w:val="24"/>
          <w:szCs w:val="24"/>
        </w:rPr>
      </w:pPr>
      <w:r w:rsidRPr="00CB7530">
        <w:rPr>
          <w:rFonts w:ascii="Times New Roman" w:hAnsi="Times New Roman" w:cs="Times New Roman"/>
          <w:sz w:val="24"/>
          <w:szCs w:val="24"/>
        </w:rPr>
        <w:t>Una fase preparatoria è iniziata nel novembre 2020 e durerà al massimo 12 mesi.</w:t>
      </w:r>
      <w:r w:rsidRPr="00CB7530">
        <w:rPr>
          <w:rFonts w:ascii="Times New Roman" w:hAnsi="Times New Roman" w:cs="Times New Roman"/>
          <w:sz w:val="24"/>
          <w:szCs w:val="24"/>
        </w:rPr>
        <w:br/>
        <w:t>Durante questa fase verranno sviluppati piani con azioni dettagliate, strategia di investimento e indicatori di performance.</w:t>
      </w:r>
      <w:r w:rsidR="00CB0C01">
        <w:rPr>
          <w:rFonts w:ascii="Times New Roman" w:hAnsi="Times New Roman" w:cs="Times New Roman"/>
          <w:sz w:val="24"/>
          <w:szCs w:val="24"/>
        </w:rPr>
        <w:t xml:space="preserve"> </w:t>
      </w:r>
      <w:r w:rsidRPr="00CB7530">
        <w:rPr>
          <w:rFonts w:ascii="Times New Roman" w:hAnsi="Times New Roman" w:cs="Times New Roman"/>
          <w:sz w:val="24"/>
          <w:szCs w:val="24"/>
        </w:rPr>
        <w:t>Alla fine, le missioni saranno valutate sulla base di una serie di solidi  criteri . Una volta approvate, le missioni saranno completamente attive e funzionanti. Gli europei continueranno a essere coinvolti durante tutta la loro attuazione</w:t>
      </w:r>
    </w:p>
    <w:p w:rsidR="000426C0" w:rsidRPr="00CB7530" w:rsidRDefault="000426C0" w:rsidP="00CB7530">
      <w:pPr>
        <w:pStyle w:val="Nessunaspaziatura"/>
        <w:jc w:val="both"/>
        <w:rPr>
          <w:rFonts w:ascii="Times New Roman" w:hAnsi="Times New Roman" w:cs="Times New Roman"/>
          <w:sz w:val="24"/>
          <w:szCs w:val="24"/>
        </w:rPr>
      </w:pPr>
    </w:p>
    <w:p w:rsidR="000426C0" w:rsidRPr="00E31FA5" w:rsidRDefault="000426C0" w:rsidP="00CB7530">
      <w:pPr>
        <w:pStyle w:val="Nessunaspaziatura"/>
        <w:jc w:val="both"/>
        <w:rPr>
          <w:rFonts w:ascii="Times New Roman" w:hAnsi="Times New Roman" w:cs="Times New Roman"/>
          <w:b/>
          <w:bCs/>
          <w:sz w:val="24"/>
          <w:szCs w:val="24"/>
        </w:rPr>
      </w:pPr>
      <w:r w:rsidRPr="00E31FA5">
        <w:rPr>
          <w:rFonts w:ascii="Times New Roman" w:hAnsi="Times New Roman" w:cs="Times New Roman"/>
          <w:b/>
          <w:bCs/>
          <w:sz w:val="24"/>
          <w:szCs w:val="24"/>
        </w:rPr>
        <w:t>Come partecipare</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La Commissione vuole co-creare missioni e iniziative di Orizzonte Europa con i cittadini e le parti interessate.</w:t>
      </w:r>
      <w:r w:rsidR="00CB0C01" w:rsidRPr="00E31FA5">
        <w:rPr>
          <w:rFonts w:ascii="Times New Roman" w:hAnsi="Times New Roman" w:cs="Times New Roman"/>
          <w:sz w:val="24"/>
          <w:szCs w:val="24"/>
        </w:rPr>
        <w:t xml:space="preserve"> </w:t>
      </w:r>
      <w:r w:rsidRPr="00E31FA5">
        <w:rPr>
          <w:rFonts w:ascii="Times New Roman" w:hAnsi="Times New Roman" w:cs="Times New Roman"/>
          <w:sz w:val="24"/>
          <w:szCs w:val="24"/>
        </w:rPr>
        <w:t>Abbiamo bisogno di un'ampia partecipazione del pubblico per assicurarci che le missioni siano rilevanti e facciano davvero la differenza. Questo feedback influenzerà il modo in cui le missioni sono progettate e implementate.</w:t>
      </w:r>
    </w:p>
    <w:p w:rsidR="000426C0" w:rsidRPr="00E31FA5" w:rsidRDefault="000426C0" w:rsidP="00CB7530">
      <w:pPr>
        <w:pStyle w:val="Nessunaspaziatura"/>
        <w:jc w:val="both"/>
        <w:rPr>
          <w:rFonts w:ascii="Times New Roman" w:hAnsi="Times New Roman" w:cs="Times New Roman"/>
          <w:b/>
          <w:bCs/>
          <w:sz w:val="24"/>
          <w:szCs w:val="24"/>
        </w:rPr>
      </w:pPr>
      <w:r w:rsidRPr="00E31FA5">
        <w:rPr>
          <w:rFonts w:ascii="Times New Roman" w:hAnsi="Times New Roman" w:cs="Times New Roman"/>
          <w:b/>
          <w:bCs/>
          <w:sz w:val="24"/>
          <w:szCs w:val="24"/>
        </w:rPr>
        <w:t>Le persone saranno invitate a</w:t>
      </w:r>
      <w:r w:rsidR="00CB0C01" w:rsidRPr="00E31FA5">
        <w:rPr>
          <w:rFonts w:ascii="Times New Roman" w:hAnsi="Times New Roman" w:cs="Times New Roman"/>
          <w:b/>
          <w:bCs/>
          <w:sz w:val="24"/>
          <w:szCs w:val="24"/>
        </w:rPr>
        <w:t>:</w:t>
      </w:r>
    </w:p>
    <w:p w:rsidR="000426C0"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partecipare a discussioni e sondaggi online sui social media</w:t>
      </w:r>
    </w:p>
    <w:p w:rsidR="000426C0"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partecipare a eventi cittadini e conferenze specializzate per discutere il fulcro delle missioni</w:t>
      </w:r>
    </w:p>
    <w:p w:rsidR="000426C0"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partecipare a una serie di altre attività man mano che le missioni si evolvono</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Durante l'estate del 2020, la Commissione, insieme ai partner, ha organizzato 10 eventi di coinvolgimento dei cittadini per raccogliere proposte dal pubblico per le 5 missioni dell'UE. Sono state organizzate 2 sessioni per missione in 10 diversi paesi europei. I cittadini potrebbero anche caricare le loro idee su una piattaforma digitale.</w:t>
      </w:r>
      <w:r w:rsidR="00CB0C01" w:rsidRPr="00E31FA5">
        <w:rPr>
          <w:rFonts w:ascii="Times New Roman" w:hAnsi="Times New Roman" w:cs="Times New Roman"/>
          <w:sz w:val="24"/>
          <w:szCs w:val="24"/>
        </w:rPr>
        <w:t xml:space="preserve"> </w:t>
      </w:r>
      <w:r w:rsidRPr="00E31FA5">
        <w:rPr>
          <w:rFonts w:ascii="Times New Roman" w:hAnsi="Times New Roman" w:cs="Times New Roman"/>
          <w:sz w:val="24"/>
          <w:szCs w:val="24"/>
        </w:rPr>
        <w:t>I rapporti riassumono questi contributi, che sono stati inseriti nei </w:t>
      </w:r>
      <w:hyperlink r:id="rId74" w:history="1">
        <w:r w:rsidRPr="00E31FA5">
          <w:rPr>
            <w:rStyle w:val="Collegamentoipertestuale"/>
            <w:rFonts w:ascii="Times New Roman" w:hAnsi="Times New Roman" w:cs="Times New Roman"/>
            <w:color w:val="auto"/>
            <w:sz w:val="24"/>
            <w:szCs w:val="24"/>
          </w:rPr>
          <w:t>rapporti del Consiglio di missione</w:t>
        </w:r>
      </w:hyperlink>
      <w:r w:rsidRPr="00E31FA5">
        <w:rPr>
          <w:rFonts w:ascii="Times New Roman" w:hAnsi="Times New Roman" w:cs="Times New Roman"/>
          <w:sz w:val="24"/>
          <w:szCs w:val="24"/>
        </w:rPr>
        <w:t>  presentati nel settembre 2020.</w:t>
      </w:r>
    </w:p>
    <w:p w:rsidR="00CB0C01"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I partenariati riguarderanno settori critici quali l'energia, i trasporti, la biodiversità, la salute, l'alimentazione e la circolarità e integreranno i dieci </w:t>
      </w:r>
      <w:hyperlink r:id="rId75" w:tgtFrame="_blank" w:history="1">
        <w:r w:rsidRPr="00E31FA5">
          <w:rPr>
            <w:rStyle w:val="Collegamentoipertestuale"/>
            <w:rFonts w:ascii="Times New Roman" w:hAnsi="Times New Roman" w:cs="Times New Roman"/>
            <w:color w:val="auto"/>
            <w:sz w:val="24"/>
            <w:szCs w:val="24"/>
          </w:rPr>
          <w:t>partenariati europei istituzionalizzati</w:t>
        </w:r>
      </w:hyperlink>
      <w:r w:rsidRPr="00E31FA5">
        <w:rPr>
          <w:rFonts w:ascii="Times New Roman" w:hAnsi="Times New Roman" w:cs="Times New Roman"/>
          <w:sz w:val="24"/>
          <w:szCs w:val="24"/>
        </w:rPr>
        <w:t> proposti dalla Commissione in febbraio. Le missioni dell'UE affronteranno le sfide globali che incidono sulla nostra vita quotidiana fissando obiettivi ambiziosi e stimolanti ma realizzabili, come</w:t>
      </w:r>
      <w:r w:rsidR="00CB0C01" w:rsidRPr="00E31FA5">
        <w:rPr>
          <w:rFonts w:ascii="Times New Roman" w:hAnsi="Times New Roman" w:cs="Times New Roman"/>
          <w:sz w:val="24"/>
          <w:szCs w:val="24"/>
        </w:rPr>
        <w:t>:</w:t>
      </w:r>
      <w:r w:rsidRPr="00E31FA5">
        <w:rPr>
          <w:rFonts w:ascii="Times New Roman" w:hAnsi="Times New Roman" w:cs="Times New Roman"/>
          <w:sz w:val="24"/>
          <w:szCs w:val="24"/>
        </w:rPr>
        <w:t xml:space="preserve">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 lotta contro il cancro,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l'adattamento ai cambiamenti climatici,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 protezione degli oceani,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 trasformazione ecologica delle città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 protezione del suolo </w:t>
      </w:r>
    </w:p>
    <w:p w:rsidR="00CB0C01" w:rsidRPr="00E31FA5" w:rsidRDefault="000426C0" w:rsidP="00CB0C01">
      <w:pPr>
        <w:pStyle w:val="Nessunaspaziatura"/>
        <w:numPr>
          <w:ilvl w:val="0"/>
          <w:numId w:val="26"/>
        </w:numPr>
        <w:jc w:val="both"/>
        <w:rPr>
          <w:rFonts w:ascii="Times New Roman" w:hAnsi="Times New Roman" w:cs="Times New Roman"/>
          <w:sz w:val="24"/>
          <w:szCs w:val="24"/>
        </w:rPr>
      </w:pPr>
      <w:r w:rsidRPr="00E31FA5">
        <w:rPr>
          <w:rFonts w:ascii="Times New Roman" w:hAnsi="Times New Roman" w:cs="Times New Roman"/>
          <w:sz w:val="24"/>
          <w:szCs w:val="24"/>
        </w:rPr>
        <w:t xml:space="preserve">l'alimentazione. </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Utilizzando un ampio ventaglio di strumenti in diverse discipline e settori politici, le missioni dell'UE affronteranno questioni complesse attraverso progetti di ricerca, misure politiche o anche iniziative legislative.</w:t>
      </w:r>
      <w:r w:rsidR="00CB0C01" w:rsidRPr="00E31FA5">
        <w:rPr>
          <w:rFonts w:ascii="Times New Roman" w:hAnsi="Times New Roman" w:cs="Times New Roman"/>
          <w:sz w:val="24"/>
          <w:szCs w:val="24"/>
        </w:rPr>
        <w:t xml:space="preserve"> </w:t>
      </w:r>
      <w:r w:rsidRPr="00E31FA5">
        <w:rPr>
          <w:rFonts w:ascii="Times New Roman" w:hAnsi="Times New Roman" w:cs="Times New Roman"/>
          <w:sz w:val="24"/>
          <w:szCs w:val="24"/>
        </w:rPr>
        <w:t>Gli orientamenti del piano vertono anche su una serie di questioni orizzontali, quali il </w:t>
      </w:r>
      <w:hyperlink r:id="rId76" w:tgtFrame="_blank" w:history="1">
        <w:r w:rsidRPr="00E31FA5">
          <w:rPr>
            <w:rStyle w:val="Collegamentoipertestuale"/>
            <w:rFonts w:ascii="Times New Roman" w:hAnsi="Times New Roman" w:cs="Times New Roman"/>
            <w:color w:val="auto"/>
            <w:sz w:val="24"/>
            <w:szCs w:val="24"/>
          </w:rPr>
          <w:t>genere</w:t>
        </w:r>
      </w:hyperlink>
      <w:r w:rsidRPr="00E31FA5">
        <w:rPr>
          <w:rFonts w:ascii="Times New Roman" w:hAnsi="Times New Roman" w:cs="Times New Roman"/>
          <w:sz w:val="24"/>
          <w:szCs w:val="24"/>
        </w:rPr>
        <w:t>. L'integrazione della dimensione di genere sarà un requisito predefinito nei contenuti della ricerca e dell'innovazione in tutto il programma, a meno che sia specificato che il sesso o il genere non sono pertinenti per l'argomento in questione.</w:t>
      </w:r>
    </w:p>
    <w:p w:rsidR="00CB0C01" w:rsidRPr="00E31FA5" w:rsidRDefault="00CB0C01" w:rsidP="00CB7530">
      <w:pPr>
        <w:pStyle w:val="Nessunaspaziatura"/>
        <w:jc w:val="both"/>
        <w:rPr>
          <w:rFonts w:ascii="Times New Roman" w:hAnsi="Times New Roman" w:cs="Times New Roman"/>
          <w:b/>
          <w:bCs/>
          <w:sz w:val="24"/>
          <w:szCs w:val="24"/>
        </w:rPr>
      </w:pPr>
    </w:p>
    <w:p w:rsidR="000426C0" w:rsidRPr="00E31FA5" w:rsidRDefault="000426C0" w:rsidP="00CB7530">
      <w:pPr>
        <w:pStyle w:val="Nessunaspaziatura"/>
        <w:jc w:val="both"/>
        <w:rPr>
          <w:rFonts w:ascii="Times New Roman" w:hAnsi="Times New Roman" w:cs="Times New Roman"/>
          <w:b/>
          <w:bCs/>
          <w:sz w:val="24"/>
          <w:szCs w:val="24"/>
        </w:rPr>
      </w:pPr>
      <w:r w:rsidRPr="00E31FA5">
        <w:rPr>
          <w:rFonts w:ascii="Times New Roman" w:hAnsi="Times New Roman" w:cs="Times New Roman"/>
          <w:b/>
          <w:bCs/>
          <w:sz w:val="24"/>
          <w:szCs w:val="24"/>
        </w:rPr>
        <w:t>Prossime tappe</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Le priorità stabilite nel piano strategico di Orizzonte Europa saranno attuate attraverso il programma di lavoro di Orizzonte Europa. Definisce le opportunità di finanziamento per le attività di ricerca e innovazione attraverso inviti tematici a presentare proposte e tematiche. I primi </w:t>
      </w:r>
      <w:hyperlink r:id="rId77" w:tgtFrame="_blank" w:history="1">
        <w:r w:rsidRPr="00E31FA5">
          <w:rPr>
            <w:rStyle w:val="Collegamentoipertestuale"/>
            <w:rFonts w:ascii="Times New Roman" w:hAnsi="Times New Roman" w:cs="Times New Roman"/>
            <w:color w:val="auto"/>
            <w:sz w:val="24"/>
            <w:szCs w:val="24"/>
          </w:rPr>
          <w:t>inviti a presentare proposte</w:t>
        </w:r>
      </w:hyperlink>
      <w:r w:rsidRPr="00E31FA5">
        <w:rPr>
          <w:rFonts w:ascii="Times New Roman" w:hAnsi="Times New Roman" w:cs="Times New Roman"/>
          <w:sz w:val="24"/>
          <w:szCs w:val="24"/>
        </w:rPr>
        <w:t> saranno pubblicati nella primavera del 2021 e saranno presentati in occasione delle </w:t>
      </w:r>
      <w:hyperlink r:id="rId78" w:tgtFrame="_blank" w:history="1">
        <w:r w:rsidRPr="00E31FA5">
          <w:rPr>
            <w:rStyle w:val="Collegamentoipertestuale"/>
            <w:rFonts w:ascii="Times New Roman" w:hAnsi="Times New Roman" w:cs="Times New Roman"/>
            <w:color w:val="auto"/>
            <w:sz w:val="24"/>
            <w:szCs w:val="24"/>
          </w:rPr>
          <w:t>Giornate europee della ricerca e dell'innovazione</w:t>
        </w:r>
      </w:hyperlink>
      <w:r w:rsidRPr="00E31FA5">
        <w:rPr>
          <w:rFonts w:ascii="Times New Roman" w:hAnsi="Times New Roman" w:cs="Times New Roman"/>
          <w:sz w:val="24"/>
          <w:szCs w:val="24"/>
        </w:rPr>
        <w:t> che si terranno dal 23 al 24 giugno.</w:t>
      </w:r>
    </w:p>
    <w:p w:rsidR="000426C0" w:rsidRPr="00E31FA5" w:rsidRDefault="000426C0" w:rsidP="00CB7530">
      <w:pPr>
        <w:pStyle w:val="Nessunaspaziatura"/>
        <w:jc w:val="both"/>
        <w:rPr>
          <w:rFonts w:ascii="Times New Roman" w:hAnsi="Times New Roman" w:cs="Times New Roman"/>
          <w:b/>
          <w:bCs/>
          <w:sz w:val="24"/>
          <w:szCs w:val="24"/>
        </w:rPr>
      </w:pPr>
      <w:r w:rsidRPr="00E31FA5">
        <w:rPr>
          <w:rFonts w:ascii="Times New Roman" w:hAnsi="Times New Roman" w:cs="Times New Roman"/>
          <w:b/>
          <w:bCs/>
          <w:sz w:val="24"/>
          <w:szCs w:val="24"/>
        </w:rPr>
        <w:lastRenderedPageBreak/>
        <w:t>Contesto</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A seguito dell'accordo politico su Orizzonte Europa raggiunto tra marzo e aprile 2019, la Commissione ha avviato un processo di pianificazione strategica. I risultati sono illustrati nel piano strategico.</w:t>
      </w:r>
      <w:r w:rsidR="00CB0C01" w:rsidRPr="00E31FA5">
        <w:rPr>
          <w:rFonts w:ascii="Times New Roman" w:hAnsi="Times New Roman" w:cs="Times New Roman"/>
          <w:sz w:val="24"/>
          <w:szCs w:val="24"/>
        </w:rPr>
        <w:t xml:space="preserve"> </w:t>
      </w:r>
      <w:r w:rsidRPr="00E31FA5">
        <w:rPr>
          <w:rFonts w:ascii="Times New Roman" w:hAnsi="Times New Roman" w:cs="Times New Roman"/>
          <w:sz w:val="24"/>
          <w:szCs w:val="24"/>
        </w:rPr>
        <w:t>Il piano strategico è stato elaborato a seguito di un ampio processo di co-progettazione che ha coinvolto il Parlamento europeo, gli Stati membri, i portatori di interessi e il pubblico in generale. Oltre 8 000 contributi sono stati presentati in varie fasi del processo di pianificazione strategica. Il processo di co-progettazione inclusivo mira a garantire la titolarità quanto più ampia possibile e a ottimizzare l'impatto complessivo di Orizzonte Europa.</w:t>
      </w:r>
    </w:p>
    <w:p w:rsidR="000426C0" w:rsidRPr="00E31FA5" w:rsidRDefault="000426C0"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Per ulteriori informazioni</w:t>
      </w:r>
    </w:p>
    <w:p w:rsidR="000426C0" w:rsidRPr="00E31FA5" w:rsidRDefault="0086067C" w:rsidP="00CB7530">
      <w:pPr>
        <w:pStyle w:val="Nessunaspaziatura"/>
        <w:jc w:val="both"/>
        <w:rPr>
          <w:rFonts w:ascii="Times New Roman" w:hAnsi="Times New Roman" w:cs="Times New Roman"/>
          <w:sz w:val="24"/>
          <w:szCs w:val="24"/>
        </w:rPr>
      </w:pPr>
      <w:hyperlink r:id="rId79" w:tgtFrame="_blank" w:history="1">
        <w:r w:rsidR="000426C0" w:rsidRPr="00E31FA5">
          <w:rPr>
            <w:rStyle w:val="Collegamentoipertestuale"/>
            <w:rFonts w:ascii="Times New Roman" w:hAnsi="Times New Roman" w:cs="Times New Roman"/>
            <w:color w:val="auto"/>
            <w:sz w:val="24"/>
            <w:szCs w:val="24"/>
          </w:rPr>
          <w:t>Scheda informativa sul piano strategico Piano strategico di Orizzonte Europa</w:t>
        </w:r>
      </w:hyperlink>
    </w:p>
    <w:p w:rsidR="000426C0" w:rsidRPr="00E31FA5" w:rsidRDefault="0086067C" w:rsidP="00CB7530">
      <w:pPr>
        <w:pStyle w:val="Nessunaspaziatura"/>
        <w:jc w:val="both"/>
        <w:rPr>
          <w:rFonts w:ascii="Times New Roman" w:hAnsi="Times New Roman" w:cs="Times New Roman"/>
          <w:sz w:val="24"/>
          <w:szCs w:val="24"/>
        </w:rPr>
      </w:pPr>
      <w:hyperlink r:id="rId80" w:tgtFrame="_blank" w:history="1">
        <w:r w:rsidR="000426C0" w:rsidRPr="00E31FA5">
          <w:rPr>
            <w:rStyle w:val="Collegamentoipertestuale"/>
            <w:rFonts w:ascii="Times New Roman" w:hAnsi="Times New Roman" w:cs="Times New Roman"/>
            <w:color w:val="auto"/>
            <w:sz w:val="24"/>
            <w:szCs w:val="24"/>
          </w:rPr>
          <w:t>Piano strategico di Orizzonte Europa</w:t>
        </w:r>
      </w:hyperlink>
    </w:p>
    <w:p w:rsidR="000426C0" w:rsidRPr="00E31FA5" w:rsidRDefault="0086067C" w:rsidP="00CB7530">
      <w:pPr>
        <w:pStyle w:val="Nessunaspaziatura"/>
        <w:jc w:val="both"/>
        <w:rPr>
          <w:rFonts w:ascii="Times New Roman" w:hAnsi="Times New Roman" w:cs="Times New Roman"/>
          <w:sz w:val="24"/>
          <w:szCs w:val="24"/>
        </w:rPr>
      </w:pPr>
      <w:hyperlink r:id="rId81" w:tgtFrame="_blank" w:history="1">
        <w:r w:rsidR="000426C0" w:rsidRPr="00E31FA5">
          <w:rPr>
            <w:rStyle w:val="Collegamentoipertestuale"/>
            <w:rFonts w:ascii="Times New Roman" w:hAnsi="Times New Roman" w:cs="Times New Roman"/>
            <w:color w:val="auto"/>
            <w:sz w:val="24"/>
            <w:szCs w:val="24"/>
          </w:rPr>
          <w:t>Orizzonte Europa</w:t>
        </w:r>
      </w:hyperlink>
    </w:p>
    <w:p w:rsidR="000426C0" w:rsidRPr="00E31FA5" w:rsidRDefault="0086067C" w:rsidP="00CB7530">
      <w:pPr>
        <w:pStyle w:val="Nessunaspaziatura"/>
        <w:jc w:val="both"/>
        <w:rPr>
          <w:rFonts w:ascii="Times New Roman" w:hAnsi="Times New Roman" w:cs="Times New Roman"/>
          <w:sz w:val="24"/>
          <w:szCs w:val="24"/>
        </w:rPr>
      </w:pPr>
      <w:hyperlink r:id="rId82" w:tgtFrame="_blank" w:history="1">
        <w:r w:rsidR="000426C0" w:rsidRPr="00E31FA5">
          <w:rPr>
            <w:rStyle w:val="Collegamentoipertestuale"/>
            <w:rFonts w:ascii="Times New Roman" w:hAnsi="Times New Roman" w:cs="Times New Roman"/>
            <w:color w:val="auto"/>
            <w:sz w:val="24"/>
            <w:szCs w:val="24"/>
          </w:rPr>
          <w:t>Missioni dell'UE</w:t>
        </w:r>
      </w:hyperlink>
    </w:p>
    <w:p w:rsidR="000426C0" w:rsidRPr="00E31FA5" w:rsidRDefault="0086067C" w:rsidP="00CB7530">
      <w:pPr>
        <w:pStyle w:val="Nessunaspaziatura"/>
        <w:jc w:val="both"/>
        <w:rPr>
          <w:rFonts w:ascii="Times New Roman" w:hAnsi="Times New Roman" w:cs="Times New Roman"/>
          <w:sz w:val="24"/>
          <w:szCs w:val="24"/>
        </w:rPr>
      </w:pPr>
      <w:hyperlink r:id="rId83" w:tgtFrame="_blank" w:history="1">
        <w:r w:rsidR="000426C0" w:rsidRPr="00E31FA5">
          <w:rPr>
            <w:rStyle w:val="Collegamentoipertestuale"/>
            <w:rFonts w:ascii="Times New Roman" w:hAnsi="Times New Roman" w:cs="Times New Roman"/>
            <w:color w:val="auto"/>
            <w:sz w:val="24"/>
            <w:szCs w:val="24"/>
          </w:rPr>
          <w:t>Partenariati europei</w:t>
        </w:r>
      </w:hyperlink>
    </w:p>
    <w:p w:rsidR="000426C0" w:rsidRPr="00E31FA5" w:rsidRDefault="0086067C" w:rsidP="00CB7530">
      <w:pPr>
        <w:pStyle w:val="Nessunaspaziatura"/>
        <w:jc w:val="both"/>
        <w:rPr>
          <w:rFonts w:ascii="Times New Roman" w:hAnsi="Times New Roman" w:cs="Times New Roman"/>
          <w:sz w:val="24"/>
          <w:szCs w:val="24"/>
        </w:rPr>
      </w:pPr>
      <w:hyperlink r:id="rId84" w:tgtFrame="_blank" w:history="1">
        <w:r w:rsidR="000426C0" w:rsidRPr="00E31FA5">
          <w:rPr>
            <w:rStyle w:val="Collegamentoipertestuale"/>
            <w:rFonts w:ascii="Times New Roman" w:hAnsi="Times New Roman" w:cs="Times New Roman"/>
            <w:color w:val="auto"/>
            <w:sz w:val="24"/>
            <w:szCs w:val="24"/>
          </w:rPr>
          <w:t>Consultare gli inviti a presentare proposte e presentare domanda di finanziamento</w:t>
        </w:r>
      </w:hyperlink>
    </w:p>
    <w:p w:rsidR="000426C0" w:rsidRPr="00E31FA5" w:rsidRDefault="000426C0" w:rsidP="00CB7530">
      <w:pPr>
        <w:pStyle w:val="Nessunaspaziatura"/>
        <w:jc w:val="both"/>
        <w:rPr>
          <w:rFonts w:ascii="Times New Roman" w:hAnsi="Times New Roman" w:cs="Times New Roman"/>
          <w:sz w:val="24"/>
          <w:szCs w:val="24"/>
        </w:rPr>
      </w:pPr>
    </w:p>
    <w:p w:rsidR="002E7249" w:rsidRPr="00E31FA5" w:rsidRDefault="002E7249" w:rsidP="00CB7530">
      <w:pPr>
        <w:pStyle w:val="Nessunaspaziatura"/>
        <w:jc w:val="both"/>
        <w:rPr>
          <w:rFonts w:ascii="Times New Roman" w:hAnsi="Times New Roman" w:cs="Times New Roman"/>
          <w:sz w:val="24"/>
          <w:szCs w:val="24"/>
        </w:rPr>
      </w:pPr>
    </w:p>
    <w:p w:rsidR="002E7249" w:rsidRPr="00E31FA5" w:rsidRDefault="002E7249" w:rsidP="0064330F">
      <w:pPr>
        <w:pStyle w:val="Nessunaspaziatura"/>
        <w:jc w:val="center"/>
        <w:rPr>
          <w:rFonts w:ascii="Times New Roman" w:hAnsi="Times New Roman" w:cs="Times New Roman"/>
          <w:b/>
          <w:bCs/>
          <w:sz w:val="24"/>
          <w:szCs w:val="24"/>
        </w:rPr>
      </w:pPr>
      <w:r w:rsidRPr="00E31FA5">
        <w:rPr>
          <w:rFonts w:ascii="Times New Roman" w:hAnsi="Times New Roman" w:cs="Times New Roman"/>
          <w:b/>
          <w:bCs/>
          <w:sz w:val="24"/>
          <w:szCs w:val="24"/>
        </w:rPr>
        <w:t>Ultime sul Recovery Plan</w:t>
      </w:r>
    </w:p>
    <w:p w:rsidR="002E7249" w:rsidRP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31/03/2021</w:t>
      </w:r>
    </w:p>
    <w:p w:rsidR="002E7249" w:rsidRPr="00E31FA5" w:rsidRDefault="002E7249" w:rsidP="00CB7530">
      <w:pPr>
        <w:pStyle w:val="Nessunaspaziatura"/>
        <w:jc w:val="both"/>
        <w:rPr>
          <w:rFonts w:ascii="Times New Roman" w:hAnsi="Times New Roman" w:cs="Times New Roman"/>
          <w:sz w:val="24"/>
          <w:szCs w:val="24"/>
        </w:rPr>
      </w:pPr>
    </w:p>
    <w:p w:rsid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Il Recovery Plan rischia di incagliarsi nell’imbuto di una Suez tedesca, congelato da un ricorso delle destre alla Corte di Karlsruhe.</w:t>
      </w:r>
    </w:p>
    <w:p w:rsidR="00E31FA5" w:rsidRDefault="00E31FA5" w:rsidP="00CB7530">
      <w:pPr>
        <w:pStyle w:val="Nessunaspaziatura"/>
        <w:jc w:val="both"/>
        <w:rPr>
          <w:rFonts w:ascii="Times New Roman" w:hAnsi="Times New Roman" w:cs="Times New Roman"/>
          <w:sz w:val="24"/>
          <w:szCs w:val="24"/>
        </w:rPr>
      </w:pPr>
    </w:p>
    <w:p w:rsid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 La democrazia all’europea impone che nulla sia fatto sinché tutti gli stati e tutti i parlamenti non abbiano dato l’approvazione, e allora la prospettiva di un ritardo per i miliardi necessari al rilancio dell’economia continentale ancora in preda alla pandemia crea qualche preoccupazione i più di chi si potrebbe fare a meno. Anche spavento, a ben vedere. Anche i politici cercando di fare buon viso a cattivo gioco. Come Enzo Amendola, sottosegretario agli Affari Europei, che (a La Stampa) gira un invito ad attenersi ai fatti, perché governo e camere tedesche si sono dimostrare favorevoli al Grande Salvataggio.  </w:t>
      </w:r>
    </w:p>
    <w:p w:rsidR="002E7249" w:rsidRP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È un segnale rincuorante. Il che non toglie, precisa, che sia necessario accelerare le procedure per l’ottenimento dei fondi. In Italia, come nel resto dell’Unione, perché - come è palese - siamo tutti su una sola barca.</w:t>
      </w:r>
    </w:p>
    <w:p w:rsidR="002E7249" w:rsidRP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Varato (politicamente) dai leader Ue la scorsa estate è arrivato alla svolta cruciale. Battezzato Next generation EU - noto da noi come Recovery Fund - è un fondo speciale volto a finanziare la ripresa economica del vecchio continente nel triennio 2021-2023 con titoli di Stato europei (Recovery bond). Essi serviranno a sostenere progetti di riforma strutturali previsti dai Piani nazionali di riforme di ogni Paese: i Recovery Plan. Lo stanziamento complessivo è di 750 miliardi di euro, da dividere tra i diversi Stati. L’Italia è il primo beneficiario con 209 miliardi di euro. </w:t>
      </w:r>
    </w:p>
    <w:p w:rsidR="002E7249" w:rsidRPr="00E31FA5" w:rsidRDefault="002E7249"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Per ottenere i fondi - in parte prestiti (127 miliardi) e in parte assegnazioni a fondo perduto (82) - gli Stati Membri devono presentare alla Commissione europea i propri Recovery Plan entro aprile 2021. In Italia il Recovery Plan è stato denominato Piano Nazionale di Ripresa e Resilienza (PNRR) e si compone di sei missioni: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t xml:space="preserve">Digitalizzazione, innovazione e competitività del sistema produttivo e la Pubblica Amministrazione, l’istruzione, la Sanità e il Fisco;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t xml:space="preserve">Rivoluzione verde e transizione ecologica;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t xml:space="preserve">Infrastrutture, per la mobilità e le telecomunicazioni, con la realizzazione di una Rete nazionale in fibra ottica, lo sviluppo delle reti 5G e l’Alta Velocità;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t xml:space="preserve">Istruzione, formazione, ricerca e cultura;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t xml:space="preserve">Equità sociale, di genere e territoriale, con attenzione particolare sulle politiche attive del lavoro e sul piano per il Sud; </w:t>
      </w:r>
    </w:p>
    <w:p w:rsidR="002E7249" w:rsidRPr="00E31FA5" w:rsidRDefault="002E7249" w:rsidP="007D16C9">
      <w:pPr>
        <w:pStyle w:val="Nessunaspaziatura"/>
        <w:numPr>
          <w:ilvl w:val="0"/>
          <w:numId w:val="6"/>
        </w:numPr>
        <w:jc w:val="both"/>
        <w:rPr>
          <w:rFonts w:ascii="Times New Roman" w:hAnsi="Times New Roman" w:cs="Times New Roman"/>
          <w:sz w:val="24"/>
          <w:szCs w:val="24"/>
        </w:rPr>
      </w:pPr>
      <w:r w:rsidRPr="00E31FA5">
        <w:rPr>
          <w:rFonts w:ascii="Times New Roman" w:hAnsi="Times New Roman" w:cs="Times New Roman"/>
          <w:sz w:val="24"/>
          <w:szCs w:val="24"/>
        </w:rPr>
        <w:lastRenderedPageBreak/>
        <w:t>Salute.</w:t>
      </w:r>
    </w:p>
    <w:p w:rsidR="002E7249" w:rsidRPr="00E31FA5" w:rsidRDefault="002E7249" w:rsidP="00CB7530">
      <w:pPr>
        <w:pStyle w:val="Nessunaspaziatura"/>
        <w:jc w:val="both"/>
        <w:rPr>
          <w:rFonts w:ascii="Times New Roman" w:hAnsi="Times New Roman" w:cs="Times New Roman"/>
          <w:b/>
          <w:bCs/>
          <w:sz w:val="24"/>
          <w:szCs w:val="24"/>
        </w:rPr>
      </w:pPr>
      <w:r w:rsidRPr="00E31FA5">
        <w:rPr>
          <w:rFonts w:ascii="Times New Roman" w:hAnsi="Times New Roman" w:cs="Times New Roman"/>
          <w:b/>
          <w:bCs/>
          <w:sz w:val="24"/>
          <w:szCs w:val="24"/>
        </w:rPr>
        <w:t xml:space="preserve">Fra i principali obiettivi del governo, evidenziamo: </w:t>
      </w:r>
    </w:p>
    <w:p w:rsidR="002E7249" w:rsidRPr="00E31FA5" w:rsidRDefault="002E7249" w:rsidP="00104042">
      <w:pPr>
        <w:pStyle w:val="Nessunaspaziatura"/>
        <w:numPr>
          <w:ilvl w:val="0"/>
          <w:numId w:val="5"/>
        </w:numPr>
        <w:jc w:val="both"/>
        <w:rPr>
          <w:rFonts w:ascii="Times New Roman" w:hAnsi="Times New Roman" w:cs="Times New Roman"/>
          <w:sz w:val="24"/>
          <w:szCs w:val="24"/>
        </w:rPr>
      </w:pPr>
      <w:r w:rsidRPr="00E31FA5">
        <w:rPr>
          <w:rFonts w:ascii="Times New Roman" w:hAnsi="Times New Roman" w:cs="Times New Roman"/>
          <w:sz w:val="24"/>
          <w:szCs w:val="24"/>
        </w:rPr>
        <w:t xml:space="preserve">la riduzione dell’impatto sociale ed economico della crisi pandemica; </w:t>
      </w:r>
    </w:p>
    <w:p w:rsidR="002E7249" w:rsidRPr="00E31FA5" w:rsidRDefault="002E7249" w:rsidP="00104042">
      <w:pPr>
        <w:pStyle w:val="Nessunaspaziatura"/>
        <w:numPr>
          <w:ilvl w:val="0"/>
          <w:numId w:val="5"/>
        </w:numPr>
        <w:jc w:val="both"/>
        <w:rPr>
          <w:rFonts w:ascii="Times New Roman" w:hAnsi="Times New Roman" w:cs="Times New Roman"/>
          <w:sz w:val="24"/>
          <w:szCs w:val="24"/>
        </w:rPr>
      </w:pPr>
      <w:r w:rsidRPr="00E31FA5">
        <w:rPr>
          <w:rFonts w:ascii="Times New Roman" w:hAnsi="Times New Roman" w:cs="Times New Roman"/>
          <w:sz w:val="24"/>
          <w:szCs w:val="24"/>
        </w:rPr>
        <w:t xml:space="preserve">il raddoppio del tasso medio di crescita dell’economia italiana, dallo 0,8% dell’ultimo decennio all’1,6%, in linea con la media Ue; </w:t>
      </w:r>
    </w:p>
    <w:p w:rsidR="002E7249" w:rsidRPr="00E31FA5" w:rsidRDefault="002E7249" w:rsidP="00104042">
      <w:pPr>
        <w:pStyle w:val="Nessunaspaziatura"/>
        <w:numPr>
          <w:ilvl w:val="0"/>
          <w:numId w:val="5"/>
        </w:numPr>
        <w:jc w:val="both"/>
        <w:rPr>
          <w:rFonts w:ascii="Times New Roman" w:hAnsi="Times New Roman" w:cs="Times New Roman"/>
          <w:sz w:val="24"/>
          <w:szCs w:val="24"/>
        </w:rPr>
      </w:pPr>
      <w:r w:rsidRPr="00E31FA5">
        <w:rPr>
          <w:rFonts w:ascii="Times New Roman" w:hAnsi="Times New Roman" w:cs="Times New Roman"/>
          <w:sz w:val="24"/>
          <w:szCs w:val="24"/>
        </w:rPr>
        <w:t xml:space="preserve">l’incremento degli investimenti pubblici almeno al 3% del Pil; </w:t>
      </w:r>
    </w:p>
    <w:p w:rsidR="002E7249" w:rsidRPr="00E31FA5" w:rsidRDefault="002E7249" w:rsidP="00104042">
      <w:pPr>
        <w:pStyle w:val="Nessunaspaziatura"/>
        <w:numPr>
          <w:ilvl w:val="0"/>
          <w:numId w:val="5"/>
        </w:numPr>
        <w:jc w:val="both"/>
        <w:rPr>
          <w:rFonts w:ascii="Times New Roman" w:hAnsi="Times New Roman" w:cs="Times New Roman"/>
          <w:sz w:val="24"/>
          <w:szCs w:val="24"/>
        </w:rPr>
      </w:pPr>
      <w:r w:rsidRPr="00E31FA5">
        <w:rPr>
          <w:rFonts w:ascii="Times New Roman" w:hAnsi="Times New Roman" w:cs="Times New Roman"/>
          <w:sz w:val="24"/>
          <w:szCs w:val="24"/>
        </w:rPr>
        <w:t xml:space="preserve">l’aumento della spesa per Ricerca e Sviluppo (R&amp;S) dall’attuale 1.3% al 2,1%, al di sopra della media Ue; </w:t>
      </w:r>
    </w:p>
    <w:p w:rsidR="002E7249" w:rsidRPr="00E31FA5" w:rsidRDefault="002E7249" w:rsidP="00104042">
      <w:pPr>
        <w:pStyle w:val="Nessunaspaziatura"/>
        <w:numPr>
          <w:ilvl w:val="0"/>
          <w:numId w:val="5"/>
        </w:numPr>
        <w:jc w:val="both"/>
        <w:rPr>
          <w:rFonts w:ascii="Times New Roman" w:hAnsi="Times New Roman" w:cs="Times New Roman"/>
          <w:sz w:val="24"/>
          <w:szCs w:val="24"/>
        </w:rPr>
      </w:pPr>
      <w:r w:rsidRPr="00E31FA5">
        <w:rPr>
          <w:rFonts w:ascii="Times New Roman" w:hAnsi="Times New Roman" w:cs="Times New Roman"/>
          <w:sz w:val="24"/>
          <w:szCs w:val="24"/>
        </w:rPr>
        <w:t>un’azione che conduca il tasso di occupazione al 73,2%, in linea con la media Ue, contro l’attuale 63%.</w:t>
      </w:r>
    </w:p>
    <w:p w:rsidR="002E7249" w:rsidRPr="00E31FA5" w:rsidRDefault="002E7249" w:rsidP="00CB7530">
      <w:pPr>
        <w:pStyle w:val="Nessunaspaziatura"/>
        <w:jc w:val="both"/>
        <w:rPr>
          <w:rFonts w:ascii="Times New Roman" w:hAnsi="Times New Roman" w:cs="Times New Roman"/>
          <w:sz w:val="24"/>
          <w:szCs w:val="24"/>
        </w:rPr>
      </w:pPr>
    </w:p>
    <w:p w:rsidR="00901296" w:rsidRPr="00E31FA5" w:rsidRDefault="00901296" w:rsidP="00CB7530">
      <w:pPr>
        <w:pStyle w:val="Nessunaspaziatura"/>
        <w:jc w:val="both"/>
        <w:rPr>
          <w:rFonts w:ascii="Times New Roman" w:hAnsi="Times New Roman" w:cs="Times New Roman"/>
          <w:sz w:val="24"/>
          <w:szCs w:val="24"/>
        </w:rPr>
      </w:pPr>
      <w:r w:rsidRPr="00E31FA5">
        <w:rPr>
          <w:rFonts w:ascii="Times New Roman" w:hAnsi="Times New Roman" w:cs="Times New Roman"/>
          <w:sz w:val="24"/>
          <w:szCs w:val="24"/>
        </w:rPr>
        <w:t xml:space="preserve"> </w:t>
      </w:r>
    </w:p>
    <w:p w:rsidR="00555770" w:rsidRPr="00E31FA5" w:rsidRDefault="00555770" w:rsidP="00CB7530">
      <w:pPr>
        <w:pStyle w:val="Nessunaspaziatura"/>
        <w:jc w:val="both"/>
        <w:rPr>
          <w:rFonts w:ascii="Times New Roman" w:hAnsi="Times New Roman" w:cs="Times New Roman"/>
          <w:sz w:val="24"/>
          <w:szCs w:val="24"/>
        </w:rPr>
      </w:pPr>
    </w:p>
    <w:p w:rsidR="008254B6" w:rsidRPr="00E31FA5" w:rsidRDefault="008254B6" w:rsidP="00CB7530">
      <w:pPr>
        <w:pStyle w:val="Nessunaspaziatura"/>
        <w:jc w:val="both"/>
        <w:rPr>
          <w:rFonts w:ascii="Times New Roman" w:hAnsi="Times New Roman" w:cs="Times New Roman"/>
          <w:sz w:val="24"/>
          <w:szCs w:val="24"/>
        </w:rPr>
      </w:pPr>
    </w:p>
    <w:sectPr w:rsidR="008254B6" w:rsidRPr="00E31FA5" w:rsidSect="00A734B2">
      <w:headerReference w:type="even" r:id="rId85"/>
      <w:headerReference w:type="default" r:id="rId86"/>
      <w:footerReference w:type="even" r:id="rId87"/>
      <w:footerReference w:type="default" r:id="rId88"/>
      <w:headerReference w:type="first" r:id="rId89"/>
      <w:footerReference w:type="first" r:id="rId9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67" w:rsidRDefault="00643A67" w:rsidP="005A7F00">
      <w:pPr>
        <w:spacing w:after="0" w:line="240" w:lineRule="auto"/>
      </w:pPr>
      <w:r>
        <w:separator/>
      </w:r>
    </w:p>
  </w:endnote>
  <w:endnote w:type="continuationSeparator" w:id="0">
    <w:p w:rsidR="00643A67" w:rsidRDefault="00643A67" w:rsidP="005A7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5" w:rsidRDefault="00E31F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767800"/>
      <w:docPartObj>
        <w:docPartGallery w:val="Page Numbers (Bottom of Page)"/>
        <w:docPartUnique/>
      </w:docPartObj>
    </w:sdtPr>
    <w:sdtContent>
      <w:p w:rsidR="00967DBB" w:rsidRDefault="0086067C">
        <w:pPr>
          <w:pStyle w:val="Pidipagina"/>
          <w:jc w:val="right"/>
        </w:pPr>
        <w:fldSimple w:instr="PAGE   \* MERGEFORMAT">
          <w:r w:rsidR="00BB461E">
            <w:rPr>
              <w:noProof/>
            </w:rPr>
            <w:t>1</w:t>
          </w:r>
        </w:fldSimple>
      </w:p>
    </w:sdtContent>
  </w:sdt>
  <w:p w:rsidR="00967DBB" w:rsidRDefault="00967DB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5" w:rsidRDefault="00E31F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67" w:rsidRDefault="00643A67" w:rsidP="005A7F00">
      <w:pPr>
        <w:spacing w:after="0" w:line="240" w:lineRule="auto"/>
      </w:pPr>
      <w:r>
        <w:separator/>
      </w:r>
    </w:p>
  </w:footnote>
  <w:footnote w:type="continuationSeparator" w:id="0">
    <w:p w:rsidR="00643A67" w:rsidRDefault="00643A67" w:rsidP="005A7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5" w:rsidRDefault="00E31FA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5" w:rsidRDefault="00E31FA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5" w:rsidRDefault="00E31FA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097"/>
    <w:multiLevelType w:val="hybridMultilevel"/>
    <w:tmpl w:val="3E72F92A"/>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D3F0B"/>
    <w:multiLevelType w:val="hybridMultilevel"/>
    <w:tmpl w:val="732CC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E4C9C"/>
    <w:multiLevelType w:val="hybridMultilevel"/>
    <w:tmpl w:val="8F74D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460983"/>
    <w:multiLevelType w:val="hybridMultilevel"/>
    <w:tmpl w:val="94EEE348"/>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B469C3"/>
    <w:multiLevelType w:val="hybridMultilevel"/>
    <w:tmpl w:val="3E20A982"/>
    <w:lvl w:ilvl="0" w:tplc="16A0621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656D0"/>
    <w:multiLevelType w:val="hybridMultilevel"/>
    <w:tmpl w:val="76D4356E"/>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8D2045"/>
    <w:multiLevelType w:val="hybridMultilevel"/>
    <w:tmpl w:val="447CD6C6"/>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6C663C"/>
    <w:multiLevelType w:val="hybridMultilevel"/>
    <w:tmpl w:val="E97CE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8D628A"/>
    <w:multiLevelType w:val="hybridMultilevel"/>
    <w:tmpl w:val="59625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39111A"/>
    <w:multiLevelType w:val="hybridMultilevel"/>
    <w:tmpl w:val="F9388EE6"/>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482333"/>
    <w:multiLevelType w:val="hybridMultilevel"/>
    <w:tmpl w:val="4F247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08773D"/>
    <w:multiLevelType w:val="hybridMultilevel"/>
    <w:tmpl w:val="DE248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04398F"/>
    <w:multiLevelType w:val="hybridMultilevel"/>
    <w:tmpl w:val="8A3A4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461307"/>
    <w:multiLevelType w:val="hybridMultilevel"/>
    <w:tmpl w:val="10FC0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250FA6"/>
    <w:multiLevelType w:val="hybridMultilevel"/>
    <w:tmpl w:val="D07CB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2E3764"/>
    <w:multiLevelType w:val="hybridMultilevel"/>
    <w:tmpl w:val="5C84BD84"/>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F17DD5"/>
    <w:multiLevelType w:val="hybridMultilevel"/>
    <w:tmpl w:val="C9BA5F84"/>
    <w:lvl w:ilvl="0" w:tplc="A70618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8078FE"/>
    <w:multiLevelType w:val="hybridMultilevel"/>
    <w:tmpl w:val="E5385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5C6FD9"/>
    <w:multiLevelType w:val="hybridMultilevel"/>
    <w:tmpl w:val="683093FE"/>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26243A"/>
    <w:multiLevelType w:val="hybridMultilevel"/>
    <w:tmpl w:val="C2C6A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6314D7"/>
    <w:multiLevelType w:val="hybridMultilevel"/>
    <w:tmpl w:val="A2DA2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A355FAD"/>
    <w:multiLevelType w:val="hybridMultilevel"/>
    <w:tmpl w:val="5C78E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6A2B2D"/>
    <w:multiLevelType w:val="hybridMultilevel"/>
    <w:tmpl w:val="FB601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8723B4"/>
    <w:multiLevelType w:val="hybridMultilevel"/>
    <w:tmpl w:val="3FAE7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643935"/>
    <w:multiLevelType w:val="hybridMultilevel"/>
    <w:tmpl w:val="B8507994"/>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BA5081"/>
    <w:multiLevelType w:val="hybridMultilevel"/>
    <w:tmpl w:val="D68433FC"/>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3554D8"/>
    <w:multiLevelType w:val="hybridMultilevel"/>
    <w:tmpl w:val="457CFAE2"/>
    <w:lvl w:ilvl="0" w:tplc="A6BAB1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A33117"/>
    <w:multiLevelType w:val="hybridMultilevel"/>
    <w:tmpl w:val="5CAEF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604C7B"/>
    <w:multiLevelType w:val="hybridMultilevel"/>
    <w:tmpl w:val="EB7ED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B15390"/>
    <w:multiLevelType w:val="hybridMultilevel"/>
    <w:tmpl w:val="E99CBD4C"/>
    <w:lvl w:ilvl="0" w:tplc="3C0642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A5A13E1"/>
    <w:multiLevelType w:val="hybridMultilevel"/>
    <w:tmpl w:val="60483A10"/>
    <w:lvl w:ilvl="0" w:tplc="DB9A52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A55AF0"/>
    <w:multiLevelType w:val="hybridMultilevel"/>
    <w:tmpl w:val="0B481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4"/>
  </w:num>
  <w:num w:numId="4">
    <w:abstractNumId w:val="13"/>
  </w:num>
  <w:num w:numId="5">
    <w:abstractNumId w:val="20"/>
  </w:num>
  <w:num w:numId="6">
    <w:abstractNumId w:val="23"/>
  </w:num>
  <w:num w:numId="7">
    <w:abstractNumId w:val="27"/>
  </w:num>
  <w:num w:numId="8">
    <w:abstractNumId w:val="10"/>
  </w:num>
  <w:num w:numId="9">
    <w:abstractNumId w:val="22"/>
  </w:num>
  <w:num w:numId="10">
    <w:abstractNumId w:val="19"/>
  </w:num>
  <w:num w:numId="11">
    <w:abstractNumId w:val="4"/>
  </w:num>
  <w:num w:numId="12">
    <w:abstractNumId w:val="17"/>
  </w:num>
  <w:num w:numId="13">
    <w:abstractNumId w:val="8"/>
  </w:num>
  <w:num w:numId="14">
    <w:abstractNumId w:val="7"/>
  </w:num>
  <w:num w:numId="15">
    <w:abstractNumId w:val="1"/>
  </w:num>
  <w:num w:numId="16">
    <w:abstractNumId w:val="31"/>
  </w:num>
  <w:num w:numId="17">
    <w:abstractNumId w:val="12"/>
  </w:num>
  <w:num w:numId="18">
    <w:abstractNumId w:val="21"/>
  </w:num>
  <w:num w:numId="19">
    <w:abstractNumId w:val="9"/>
  </w:num>
  <w:num w:numId="20">
    <w:abstractNumId w:val="5"/>
  </w:num>
  <w:num w:numId="21">
    <w:abstractNumId w:val="30"/>
  </w:num>
  <w:num w:numId="22">
    <w:abstractNumId w:val="16"/>
  </w:num>
  <w:num w:numId="23">
    <w:abstractNumId w:val="3"/>
  </w:num>
  <w:num w:numId="24">
    <w:abstractNumId w:val="26"/>
  </w:num>
  <w:num w:numId="25">
    <w:abstractNumId w:val="25"/>
  </w:num>
  <w:num w:numId="26">
    <w:abstractNumId w:val="18"/>
  </w:num>
  <w:num w:numId="27">
    <w:abstractNumId w:val="29"/>
  </w:num>
  <w:num w:numId="28">
    <w:abstractNumId w:val="2"/>
  </w:num>
  <w:num w:numId="29">
    <w:abstractNumId w:val="24"/>
  </w:num>
  <w:num w:numId="30">
    <w:abstractNumId w:val="15"/>
  </w:num>
  <w:num w:numId="31">
    <w:abstractNumId w:val="6"/>
  </w:num>
  <w:num w:numId="32">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40DB"/>
    <w:rsid w:val="0001164B"/>
    <w:rsid w:val="00016A5C"/>
    <w:rsid w:val="000426C0"/>
    <w:rsid w:val="000665A1"/>
    <w:rsid w:val="000E5CC8"/>
    <w:rsid w:val="00104042"/>
    <w:rsid w:val="00105897"/>
    <w:rsid w:val="00144768"/>
    <w:rsid w:val="00191372"/>
    <w:rsid w:val="001D1158"/>
    <w:rsid w:val="00207F39"/>
    <w:rsid w:val="00235DE5"/>
    <w:rsid w:val="00276F39"/>
    <w:rsid w:val="00287700"/>
    <w:rsid w:val="002A6E4C"/>
    <w:rsid w:val="002E7249"/>
    <w:rsid w:val="00321D1D"/>
    <w:rsid w:val="00420C91"/>
    <w:rsid w:val="0042313C"/>
    <w:rsid w:val="00433A9D"/>
    <w:rsid w:val="00466A69"/>
    <w:rsid w:val="00482094"/>
    <w:rsid w:val="00487912"/>
    <w:rsid w:val="004A67BE"/>
    <w:rsid w:val="004B21CB"/>
    <w:rsid w:val="004B5BCE"/>
    <w:rsid w:val="004F137D"/>
    <w:rsid w:val="00513200"/>
    <w:rsid w:val="005144A8"/>
    <w:rsid w:val="00515B2A"/>
    <w:rsid w:val="00555770"/>
    <w:rsid w:val="00585DDB"/>
    <w:rsid w:val="00586455"/>
    <w:rsid w:val="005A4D1A"/>
    <w:rsid w:val="005A7F00"/>
    <w:rsid w:val="005B2477"/>
    <w:rsid w:val="005E1383"/>
    <w:rsid w:val="005F1155"/>
    <w:rsid w:val="006340DB"/>
    <w:rsid w:val="0064330F"/>
    <w:rsid w:val="00643A67"/>
    <w:rsid w:val="0065639C"/>
    <w:rsid w:val="00670C8B"/>
    <w:rsid w:val="00675C80"/>
    <w:rsid w:val="006875B5"/>
    <w:rsid w:val="006B5FA4"/>
    <w:rsid w:val="006C559F"/>
    <w:rsid w:val="006D1EF5"/>
    <w:rsid w:val="006F0C19"/>
    <w:rsid w:val="007178AC"/>
    <w:rsid w:val="007758C8"/>
    <w:rsid w:val="007A153A"/>
    <w:rsid w:val="007D16C9"/>
    <w:rsid w:val="007E24F0"/>
    <w:rsid w:val="008048E2"/>
    <w:rsid w:val="00814684"/>
    <w:rsid w:val="008254B6"/>
    <w:rsid w:val="008258D2"/>
    <w:rsid w:val="00841B1F"/>
    <w:rsid w:val="0086067C"/>
    <w:rsid w:val="00876A60"/>
    <w:rsid w:val="008A4C1E"/>
    <w:rsid w:val="008B6DD1"/>
    <w:rsid w:val="008C6B52"/>
    <w:rsid w:val="008F77AC"/>
    <w:rsid w:val="00901296"/>
    <w:rsid w:val="00904CEF"/>
    <w:rsid w:val="009164E9"/>
    <w:rsid w:val="00921A4E"/>
    <w:rsid w:val="00923693"/>
    <w:rsid w:val="00944AE0"/>
    <w:rsid w:val="0096167A"/>
    <w:rsid w:val="00967DBB"/>
    <w:rsid w:val="00987C99"/>
    <w:rsid w:val="009B2C35"/>
    <w:rsid w:val="009B688F"/>
    <w:rsid w:val="009C2F51"/>
    <w:rsid w:val="009C466F"/>
    <w:rsid w:val="009C488B"/>
    <w:rsid w:val="009D326C"/>
    <w:rsid w:val="009D6ECE"/>
    <w:rsid w:val="009F2276"/>
    <w:rsid w:val="00A00574"/>
    <w:rsid w:val="00A00817"/>
    <w:rsid w:val="00A06C70"/>
    <w:rsid w:val="00A10B9F"/>
    <w:rsid w:val="00A25309"/>
    <w:rsid w:val="00A428EA"/>
    <w:rsid w:val="00A57C9F"/>
    <w:rsid w:val="00A71D07"/>
    <w:rsid w:val="00A734B2"/>
    <w:rsid w:val="00A90F94"/>
    <w:rsid w:val="00A956FD"/>
    <w:rsid w:val="00AB2CB0"/>
    <w:rsid w:val="00AC073A"/>
    <w:rsid w:val="00AC622D"/>
    <w:rsid w:val="00AC6E5B"/>
    <w:rsid w:val="00B0058B"/>
    <w:rsid w:val="00B13B9C"/>
    <w:rsid w:val="00B23866"/>
    <w:rsid w:val="00B73899"/>
    <w:rsid w:val="00B81F17"/>
    <w:rsid w:val="00B96509"/>
    <w:rsid w:val="00B9674A"/>
    <w:rsid w:val="00BA6750"/>
    <w:rsid w:val="00BB09ED"/>
    <w:rsid w:val="00BB461E"/>
    <w:rsid w:val="00BC1EAA"/>
    <w:rsid w:val="00BC59E0"/>
    <w:rsid w:val="00C14839"/>
    <w:rsid w:val="00C3549F"/>
    <w:rsid w:val="00C71468"/>
    <w:rsid w:val="00C948F4"/>
    <w:rsid w:val="00C979DB"/>
    <w:rsid w:val="00CA52BC"/>
    <w:rsid w:val="00CA7097"/>
    <w:rsid w:val="00CB0C01"/>
    <w:rsid w:val="00CB7530"/>
    <w:rsid w:val="00D11A68"/>
    <w:rsid w:val="00D1211B"/>
    <w:rsid w:val="00D61D3B"/>
    <w:rsid w:val="00D62020"/>
    <w:rsid w:val="00DC46B5"/>
    <w:rsid w:val="00DE1059"/>
    <w:rsid w:val="00DE5988"/>
    <w:rsid w:val="00DF6971"/>
    <w:rsid w:val="00DF6FB3"/>
    <w:rsid w:val="00DF709A"/>
    <w:rsid w:val="00E15667"/>
    <w:rsid w:val="00E230A8"/>
    <w:rsid w:val="00E31FA5"/>
    <w:rsid w:val="00E43D91"/>
    <w:rsid w:val="00E67039"/>
    <w:rsid w:val="00E75B43"/>
    <w:rsid w:val="00E8357E"/>
    <w:rsid w:val="00EC70CB"/>
    <w:rsid w:val="00ED0950"/>
    <w:rsid w:val="00EE2260"/>
    <w:rsid w:val="00EE2BA0"/>
    <w:rsid w:val="00EF6121"/>
    <w:rsid w:val="00EF7B8D"/>
    <w:rsid w:val="00F058DB"/>
    <w:rsid w:val="00F21FB5"/>
    <w:rsid w:val="00F41624"/>
    <w:rsid w:val="00F4714F"/>
    <w:rsid w:val="00FE4A4C"/>
    <w:rsid w:val="00FF01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22D"/>
  </w:style>
  <w:style w:type="paragraph" w:styleId="Titolo2">
    <w:name w:val="heading 2"/>
    <w:basedOn w:val="Normale"/>
    <w:link w:val="Titolo2Carattere"/>
    <w:uiPriority w:val="9"/>
    <w:qFormat/>
    <w:rsid w:val="004B5BC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B5BC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7F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F00"/>
  </w:style>
  <w:style w:type="paragraph" w:styleId="Pidipagina">
    <w:name w:val="footer"/>
    <w:basedOn w:val="Normale"/>
    <w:link w:val="PidipaginaCarattere"/>
    <w:uiPriority w:val="99"/>
    <w:unhideWhenUsed/>
    <w:rsid w:val="005A7F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F00"/>
  </w:style>
  <w:style w:type="character" w:customStyle="1" w:styleId="Titolo2Carattere">
    <w:name w:val="Titolo 2 Carattere"/>
    <w:basedOn w:val="Carpredefinitoparagrafo"/>
    <w:link w:val="Titolo2"/>
    <w:uiPriority w:val="9"/>
    <w:rsid w:val="004B5BC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B5BC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4B5BCE"/>
    <w:rPr>
      <w:color w:val="0000FF"/>
      <w:u w:val="single"/>
    </w:rPr>
  </w:style>
  <w:style w:type="character" w:styleId="Enfasigrassetto">
    <w:name w:val="Strong"/>
    <w:basedOn w:val="Carpredefinitoparagrafo"/>
    <w:uiPriority w:val="22"/>
    <w:qFormat/>
    <w:rsid w:val="004B5BCE"/>
    <w:rPr>
      <w:b/>
      <w:bCs/>
    </w:rPr>
  </w:style>
  <w:style w:type="character" w:styleId="Enfasicorsivo">
    <w:name w:val="Emphasis"/>
    <w:basedOn w:val="Carpredefinitoparagrafo"/>
    <w:uiPriority w:val="20"/>
    <w:qFormat/>
    <w:rsid w:val="004B5BCE"/>
    <w:rPr>
      <w:i/>
      <w:iCs/>
    </w:rPr>
  </w:style>
  <w:style w:type="paragraph" w:styleId="NormaleWeb">
    <w:name w:val="Normal (Web)"/>
    <w:basedOn w:val="Normale"/>
    <w:uiPriority w:val="99"/>
    <w:semiHidden/>
    <w:unhideWhenUsed/>
    <w:rsid w:val="004B5B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555770"/>
    <w:rPr>
      <w:color w:val="605E5C"/>
      <w:shd w:val="clear" w:color="auto" w:fill="E1DFDD"/>
    </w:rPr>
  </w:style>
  <w:style w:type="paragraph" w:styleId="Nessunaspaziatura">
    <w:name w:val="No Spacing"/>
    <w:uiPriority w:val="1"/>
    <w:qFormat/>
    <w:rsid w:val="00E15667"/>
    <w:pPr>
      <w:spacing w:after="0" w:line="240" w:lineRule="auto"/>
    </w:pPr>
  </w:style>
  <w:style w:type="paragraph" w:styleId="Paragrafoelenco">
    <w:name w:val="List Paragraph"/>
    <w:basedOn w:val="Normale"/>
    <w:uiPriority w:val="34"/>
    <w:qFormat/>
    <w:rsid w:val="000665A1"/>
    <w:pPr>
      <w:ind w:left="720"/>
      <w:contextualSpacing/>
    </w:pPr>
  </w:style>
  <w:style w:type="paragraph" w:customStyle="1" w:styleId="xmsonormal">
    <w:name w:val="x_msonormal"/>
    <w:basedOn w:val="Normale"/>
    <w:uiPriority w:val="99"/>
    <w:semiHidden/>
    <w:rsid w:val="002E72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C3549F"/>
    <w:rPr>
      <w:color w:val="954F72" w:themeColor="followedHyperlink"/>
      <w:u w:val="single"/>
    </w:rPr>
  </w:style>
  <w:style w:type="paragraph" w:styleId="Testofumetto">
    <w:name w:val="Balloon Text"/>
    <w:basedOn w:val="Normale"/>
    <w:link w:val="TestofumettoCarattere"/>
    <w:uiPriority w:val="99"/>
    <w:semiHidden/>
    <w:unhideWhenUsed/>
    <w:rsid w:val="00A956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99737">
      <w:bodyDiv w:val="1"/>
      <w:marLeft w:val="0"/>
      <w:marRight w:val="0"/>
      <w:marTop w:val="0"/>
      <w:marBottom w:val="0"/>
      <w:divBdr>
        <w:top w:val="none" w:sz="0" w:space="0" w:color="auto"/>
        <w:left w:val="none" w:sz="0" w:space="0" w:color="auto"/>
        <w:bottom w:val="none" w:sz="0" w:space="0" w:color="auto"/>
        <w:right w:val="none" w:sz="0" w:space="0" w:color="auto"/>
      </w:divBdr>
      <w:divsChild>
        <w:div w:id="962003275">
          <w:marLeft w:val="0"/>
          <w:marRight w:val="0"/>
          <w:marTop w:val="0"/>
          <w:marBottom w:val="0"/>
          <w:divBdr>
            <w:top w:val="none" w:sz="0" w:space="0" w:color="auto"/>
            <w:left w:val="none" w:sz="0" w:space="0" w:color="auto"/>
            <w:bottom w:val="none" w:sz="0" w:space="0" w:color="auto"/>
            <w:right w:val="none" w:sz="0" w:space="0" w:color="auto"/>
          </w:divBdr>
        </w:div>
      </w:divsChild>
    </w:div>
    <w:div w:id="451485642">
      <w:bodyDiv w:val="1"/>
      <w:marLeft w:val="0"/>
      <w:marRight w:val="0"/>
      <w:marTop w:val="0"/>
      <w:marBottom w:val="0"/>
      <w:divBdr>
        <w:top w:val="none" w:sz="0" w:space="0" w:color="auto"/>
        <w:left w:val="none" w:sz="0" w:space="0" w:color="auto"/>
        <w:bottom w:val="none" w:sz="0" w:space="0" w:color="auto"/>
        <w:right w:val="none" w:sz="0" w:space="0" w:color="auto"/>
      </w:divBdr>
      <w:divsChild>
        <w:div w:id="1714113130">
          <w:marLeft w:val="0"/>
          <w:marRight w:val="0"/>
          <w:marTop w:val="0"/>
          <w:marBottom w:val="0"/>
          <w:divBdr>
            <w:top w:val="none" w:sz="0" w:space="0" w:color="auto"/>
            <w:left w:val="none" w:sz="0" w:space="0" w:color="auto"/>
            <w:bottom w:val="none" w:sz="0" w:space="0" w:color="auto"/>
            <w:right w:val="none" w:sz="0" w:space="0" w:color="auto"/>
          </w:divBdr>
        </w:div>
      </w:divsChild>
    </w:div>
    <w:div w:id="799954349">
      <w:bodyDiv w:val="1"/>
      <w:marLeft w:val="0"/>
      <w:marRight w:val="0"/>
      <w:marTop w:val="0"/>
      <w:marBottom w:val="0"/>
      <w:divBdr>
        <w:top w:val="none" w:sz="0" w:space="0" w:color="auto"/>
        <w:left w:val="none" w:sz="0" w:space="0" w:color="auto"/>
        <w:bottom w:val="none" w:sz="0" w:space="0" w:color="auto"/>
        <w:right w:val="none" w:sz="0" w:space="0" w:color="auto"/>
      </w:divBdr>
    </w:div>
    <w:div w:id="928736738">
      <w:bodyDiv w:val="1"/>
      <w:marLeft w:val="0"/>
      <w:marRight w:val="0"/>
      <w:marTop w:val="0"/>
      <w:marBottom w:val="0"/>
      <w:divBdr>
        <w:top w:val="none" w:sz="0" w:space="0" w:color="auto"/>
        <w:left w:val="none" w:sz="0" w:space="0" w:color="auto"/>
        <w:bottom w:val="none" w:sz="0" w:space="0" w:color="auto"/>
        <w:right w:val="none" w:sz="0" w:space="0" w:color="auto"/>
      </w:divBdr>
    </w:div>
    <w:div w:id="1143934966">
      <w:bodyDiv w:val="1"/>
      <w:marLeft w:val="0"/>
      <w:marRight w:val="0"/>
      <w:marTop w:val="0"/>
      <w:marBottom w:val="0"/>
      <w:divBdr>
        <w:top w:val="none" w:sz="0" w:space="0" w:color="auto"/>
        <w:left w:val="none" w:sz="0" w:space="0" w:color="auto"/>
        <w:bottom w:val="none" w:sz="0" w:space="0" w:color="auto"/>
        <w:right w:val="none" w:sz="0" w:space="0" w:color="auto"/>
      </w:divBdr>
    </w:div>
    <w:div w:id="16796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social/main.jsp?catId=1089" TargetMode="External"/><Relationship Id="rId18" Type="http://schemas.openxmlformats.org/officeDocument/2006/relationships/hyperlink" Target="https://ec.europa.eu/info/files/mff-2021-2027-breakdown-cohesion-policy-allocations-member-state-2018-prices_it" TargetMode="External"/><Relationship Id="rId26" Type="http://schemas.openxmlformats.org/officeDocument/2006/relationships/hyperlink" Target="https://ec.europa.eu/commission/presscorner/detail/it/ip_20_2345" TargetMode="External"/><Relationship Id="rId39" Type="http://schemas.openxmlformats.org/officeDocument/2006/relationships/hyperlink" Target="https://ec.europa.eu/commission/presscorner/detail/it/ip_20_2236" TargetMode="External"/><Relationship Id="rId21" Type="http://schemas.openxmlformats.org/officeDocument/2006/relationships/hyperlink" Target="https://ec.europa.eu/info/files/mff-2021-2027-breakdown-european-agricultural-fund-rural-development-member-state-mff-only-current-prices_it" TargetMode="External"/><Relationship Id="rId34" Type="http://schemas.openxmlformats.org/officeDocument/2006/relationships/hyperlink" Target="https://ec.europa.eu/commission/presscorner/detail/it/ip_20_2428" TargetMode="External"/><Relationship Id="rId42" Type="http://schemas.openxmlformats.org/officeDocument/2006/relationships/hyperlink" Target="https://dc5k4hhhkzdqp.cloudfront.net/media/DOSSIER_2021-2027_QFL.pdf" TargetMode="External"/><Relationship Id="rId47" Type="http://schemas.openxmlformats.org/officeDocument/2006/relationships/hyperlink" Target="https://ec.europa.eu/info/departments/migration-and-home-affairs_it" TargetMode="External"/><Relationship Id="rId50" Type="http://schemas.openxmlformats.org/officeDocument/2006/relationships/hyperlink" Target="https://eur-lex.europa.eu/legal-content/IT/TXT/PDF/?uri=CELEX:02011R0211-20131008&amp;from=IT" TargetMode="External"/><Relationship Id="rId55" Type="http://schemas.openxmlformats.org/officeDocument/2006/relationships/hyperlink" Target="https://dc5k4hhhkzdqp.cloudfront.net/media/Regolamento_Finanziario_UE_-_Norme_relative_alla_formazione_e_allesecuzione_del_bilancio_UE.pdf" TargetMode="External"/><Relationship Id="rId63" Type="http://schemas.openxmlformats.org/officeDocument/2006/relationships/image" Target="media/image2.jpeg"/><Relationship Id="rId68" Type="http://schemas.openxmlformats.org/officeDocument/2006/relationships/hyperlink" Target="https://eur-lex.europa.eu/legal-content/IT/TXT/?uri=CELEX:32020Q1222(01)" TargetMode="External"/><Relationship Id="rId76" Type="http://schemas.openxmlformats.org/officeDocument/2006/relationships/hyperlink" Target="https://op.europa.eu/en/web/eu-law-and-publications/publication-detail/-/publication/c0b30b4b-6ce2-11eb-aeb5-01aa75ed71a1" TargetMode="External"/><Relationship Id="rId84" Type="http://schemas.openxmlformats.org/officeDocument/2006/relationships/hyperlink" Target="https://ec.europa.eu/info/funding-tenders/opportunities/portal/screen/programmes/horizon"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eur-lex.europa.eu/summary/glossary/joint_undertaking.htm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nfo/files/just-transition-fund-allocations-member-state_it" TargetMode="External"/><Relationship Id="rId29" Type="http://schemas.openxmlformats.org/officeDocument/2006/relationships/hyperlink" Target="https://ec.europa.eu/commission/presscorner/detail/it/ip_20_2420" TargetMode="External"/><Relationship Id="rId11" Type="http://schemas.openxmlformats.org/officeDocument/2006/relationships/hyperlink" Target="https://ec.europa.eu/regional_policy/en/funding/erdf/" TargetMode="External"/><Relationship Id="rId24" Type="http://schemas.openxmlformats.org/officeDocument/2006/relationships/hyperlink" Target="https://data.consilium.europa.eu/doc/document/ST-9980-2020-INIT/it/pdf" TargetMode="External"/><Relationship Id="rId32" Type="http://schemas.openxmlformats.org/officeDocument/2006/relationships/hyperlink" Target="https://ec.europa.eu/commission/presscorner/detail/it/ip_20_2385" TargetMode="External"/><Relationship Id="rId37" Type="http://schemas.openxmlformats.org/officeDocument/2006/relationships/hyperlink" Target="https://ec.europa.eu/commission/presscorner/detail/it/ip_20_2261" TargetMode="External"/><Relationship Id="rId40" Type="http://schemas.openxmlformats.org/officeDocument/2006/relationships/hyperlink" Target="https://www.prodosacademy.com/europrogettazione/programmi-di-finanziamento/diritti-uguaglianza-e-cittadinanza" TargetMode="External"/><Relationship Id="rId45" Type="http://schemas.openxmlformats.org/officeDocument/2006/relationships/hyperlink" Target="https://ec.europa.eu/info/departments/justice-and-consumers_it" TargetMode="External"/><Relationship Id="rId53" Type="http://schemas.openxmlformats.org/officeDocument/2006/relationships/hyperlink" Target="https://dc5k4hhhkzdqp.cloudfront.net/media/Regolamento_Programma_Diritti_e_Valori_compressed.pdf" TargetMode="External"/><Relationship Id="rId58" Type="http://schemas.openxmlformats.org/officeDocument/2006/relationships/hyperlink" Target="https://ec.europa.eu/info/strategy/eu-budget/long-term-eu-budget/2021-2027/revenue/own-resources/value-added-tax_en" TargetMode="External"/><Relationship Id="rId66" Type="http://schemas.openxmlformats.org/officeDocument/2006/relationships/hyperlink" Target="https://www.europarl.europa.eu/thinktank/en/document.html?reference=EPRS_BRI(2018)630265" TargetMode="External"/><Relationship Id="rId74" Type="http://schemas.openxmlformats.org/officeDocument/2006/relationships/hyperlink" Target="https://ec.europa.eu/info/news/top-experts-hand-over-their-proposals-eu-missions-commission-greener-healthier-and-more-resilient-europe-2020-sep-22-0_en" TargetMode="External"/><Relationship Id="rId79" Type="http://schemas.openxmlformats.org/officeDocument/2006/relationships/hyperlink" Target="https://ec.europa.eu/info/files/horizon-europe-strategic-plan-2021-2024-factsheet_en"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api.whatsapp.com/send?text=https://www.europarl.europa.eu/news/it/press-room/20210322IPR00517/pe-via-un-altro-ostacolo-al-fondo-ue-di-ripresa-post-covid-19?xtor%3DAD-78-%5BSocial_share_buttons%5D-%5Bwhatsapp%5D-%5Bit%5D-%5Bnews%5D-%5Bpressroom%5D-%5Bjoint-debate-the-reform-of-eu-own-resources%5D%26" TargetMode="External"/><Relationship Id="rId82" Type="http://schemas.openxmlformats.org/officeDocument/2006/relationships/hyperlink" Target="https://ec.europa.eu/info/horizon-europe/missions-horizon-europe_en" TargetMode="External"/><Relationship Id="rId90" Type="http://schemas.openxmlformats.org/officeDocument/2006/relationships/footer" Target="footer3.xml"/><Relationship Id="rId19" Type="http://schemas.openxmlformats.org/officeDocument/2006/relationships/hyperlink" Target="https://ec.europa.eu/info/files/mff-2021-2027-breakdown-cohesion-policy-allocations-member-state-current-prices_it" TargetMode="External"/><Relationship Id="rId14" Type="http://schemas.openxmlformats.org/officeDocument/2006/relationships/hyperlink" Target="https://ec.europa.eu/info/files/recovery-and-resilience-facility-grants-allocation-member-state_it" TargetMode="External"/><Relationship Id="rId22" Type="http://schemas.openxmlformats.org/officeDocument/2006/relationships/hyperlink" Target="https://data.consilium.europa.eu/doc/document/ST-10046-2020-INIT/it/pdf" TargetMode="External"/><Relationship Id="rId27" Type="http://schemas.openxmlformats.org/officeDocument/2006/relationships/hyperlink" Target="https://ec.europa.eu/commission/presscorner/detail/it/ip_20_2344" TargetMode="External"/><Relationship Id="rId30" Type="http://schemas.openxmlformats.org/officeDocument/2006/relationships/hyperlink" Target="https://ec.europa.eu/commission/presscorner/detail/it/ip_20_2405" TargetMode="External"/><Relationship Id="rId35" Type="http://schemas.openxmlformats.org/officeDocument/2006/relationships/hyperlink" Target="https://ec.europa.eu/commission/presscorner/detail/it/ip_20_2319" TargetMode="External"/><Relationship Id="rId43" Type="http://schemas.openxmlformats.org/officeDocument/2006/relationships/hyperlink" Target="http://ec.europa.eu/commission/presscorner/detail/it/MEMO_18_3975" TargetMode="External"/><Relationship Id="rId48" Type="http://schemas.openxmlformats.org/officeDocument/2006/relationships/hyperlink" Target="https://ec.europa.eu/info/departments/justice-and-consumers_it" TargetMode="External"/><Relationship Id="rId56" Type="http://schemas.openxmlformats.org/officeDocument/2006/relationships/hyperlink" Target="https://dc5k4hhhkzdqp.cloudfront.net/media/Carta_dei_diritti_fondamentali_dellUE.pdf" TargetMode="External"/><Relationship Id="rId64" Type="http://schemas.openxmlformats.org/officeDocument/2006/relationships/hyperlink" Target="https://eur-lex.europa.eu/legal-content/IT/TXT/?uri=CELEX:32020D2053" TargetMode="External"/><Relationship Id="rId69" Type="http://schemas.openxmlformats.org/officeDocument/2006/relationships/hyperlink" Target="https://oeil.secure.europarl.europa.eu/oeil/popups/printthematicnote.pdf?id=2064000&amp;l=en" TargetMode="External"/><Relationship Id="rId77" Type="http://schemas.openxmlformats.org/officeDocument/2006/relationships/hyperlink" Target="https://ec.europa.eu/info/funding-tenders/opportunities/portal/screen/programmes/horizon" TargetMode="External"/><Relationship Id="rId8" Type="http://schemas.openxmlformats.org/officeDocument/2006/relationships/image" Target="media/image1.emf"/><Relationship Id="rId51" Type="http://schemas.openxmlformats.org/officeDocument/2006/relationships/hyperlink" Target="https://ec.europa.eu/commission/presscorner/detail/it/MEMO_18_3975" TargetMode="External"/><Relationship Id="rId72" Type="http://schemas.openxmlformats.org/officeDocument/2006/relationships/hyperlink" Target="https://ec.europa.eu/programmes/horizon2020/en/h2020-section/article-185" TargetMode="External"/><Relationship Id="rId80" Type="http://schemas.openxmlformats.org/officeDocument/2006/relationships/hyperlink" Target="https://ec.europa.eu/info/files/horizon-europe-strategic-plan-2021-2024_en"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c.europa.eu/esf/home.jsp" TargetMode="External"/><Relationship Id="rId17" Type="http://schemas.openxmlformats.org/officeDocument/2006/relationships/hyperlink" Target="https://ec.europa.eu/info/files/ngeu-breakdown-european-agricultural-fund-rural-development-member-state-current-prices_it" TargetMode="External"/><Relationship Id="rId25" Type="http://schemas.openxmlformats.org/officeDocument/2006/relationships/hyperlink" Target="https://data.consilium.europa.eu/doc/document/ST-9970-2020-INIT/it/pdf" TargetMode="External"/><Relationship Id="rId33" Type="http://schemas.openxmlformats.org/officeDocument/2006/relationships/hyperlink" Target="https://ec.europa.eu/commission/presscorner/detail/it/ip_20_2354" TargetMode="External"/><Relationship Id="rId38" Type="http://schemas.openxmlformats.org/officeDocument/2006/relationships/hyperlink" Target="https://ec.europa.eu/commission/presscorner/detail/it/ip_20_2255" TargetMode="External"/><Relationship Id="rId46" Type="http://schemas.openxmlformats.org/officeDocument/2006/relationships/hyperlink" Target="https://ec.europa.eu/info/departments/employment-social-affairs-and-inclusion_it" TargetMode="External"/><Relationship Id="rId59" Type="http://schemas.openxmlformats.org/officeDocument/2006/relationships/hyperlink" Target="https://ec.europa.eu/info/strategy/eu-budget/long-term-eu-budget/2021-2027/revenue/own-resources/national-contributions_en" TargetMode="External"/><Relationship Id="rId67" Type="http://schemas.openxmlformats.org/officeDocument/2006/relationships/hyperlink" Target="https://ec.europa.eu/info/strategy/recovery-plan-europe_it" TargetMode="External"/><Relationship Id="rId20" Type="http://schemas.openxmlformats.org/officeDocument/2006/relationships/hyperlink" Target="https://ec.europa.eu/info/files/mff-2021-2027-breakdown-european-agricultural-guarantee-fund-member-state-current-prices_it" TargetMode="External"/><Relationship Id="rId41" Type="http://schemas.openxmlformats.org/officeDocument/2006/relationships/hyperlink" Target="https://www.prodosacademy.com/europrogettazione/programmi-di-finanziamento/europa-i-cittadini" TargetMode="External"/><Relationship Id="rId54" Type="http://schemas.openxmlformats.org/officeDocument/2006/relationships/hyperlink" Target="https://dc5k4hhhkzdqp.cloudfront.net/media/Allegato_Regolamento_Diritti_e_Valori.pdf" TargetMode="External"/><Relationship Id="rId62" Type="http://schemas.openxmlformats.org/officeDocument/2006/relationships/hyperlink" Target="https://www.europarl.europa.eu/resources/library/images/20210323PHT00648/20210323PHT00648_original.jpg" TargetMode="External"/><Relationship Id="rId70" Type="http://schemas.openxmlformats.org/officeDocument/2006/relationships/hyperlink" Target="https://ec.europa.eu/info/horizon-europe_en" TargetMode="External"/><Relationship Id="rId75" Type="http://schemas.openxmlformats.org/officeDocument/2006/relationships/hyperlink" Target="https://ec.europa.eu/commission/presscorner/detail/en/IP_21_702" TargetMode="External"/><Relationship Id="rId83" Type="http://schemas.openxmlformats.org/officeDocument/2006/relationships/hyperlink" Target="https://ec.europa.eu/info/horizon-europe/european-partnerships-horizon-europe_en"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react-eu-allocations-2021_it" TargetMode="External"/><Relationship Id="rId23" Type="http://schemas.openxmlformats.org/officeDocument/2006/relationships/hyperlink" Target="https://data.consilium.europa.eu/doc/document/ST-9971-2020-INIT/it/pdf" TargetMode="External"/><Relationship Id="rId28" Type="http://schemas.openxmlformats.org/officeDocument/2006/relationships/hyperlink" Target="https://ec.europa.eu/commission/presscorner/detail/it/ip_20_2406" TargetMode="External"/><Relationship Id="rId36" Type="http://schemas.openxmlformats.org/officeDocument/2006/relationships/hyperlink" Target="https://ec.europa.eu/commission/presscorner/detail/it/ip_20_2333" TargetMode="External"/><Relationship Id="rId49" Type="http://schemas.openxmlformats.org/officeDocument/2006/relationships/hyperlink" Target="https://ec.europa.eu/info/departments/employment-social-affairs-and-inclusion_it" TargetMode="External"/><Relationship Id="rId57" Type="http://schemas.openxmlformats.org/officeDocument/2006/relationships/hyperlink" Target="https://dc5k4hhhkzdqp.cloudfront.net/media/TRATTATO_SUL_FUNZIONAMENTO_DELLUE.pdf" TargetMode="External"/><Relationship Id="rId10" Type="http://schemas.openxmlformats.org/officeDocument/2006/relationships/hyperlink" Target="https://ec.europa.eu/commission/presscorner/detail/en/qanda_20_574" TargetMode="External"/><Relationship Id="rId31" Type="http://schemas.openxmlformats.org/officeDocument/2006/relationships/hyperlink" Target="https://ec.europa.eu/commission/presscorner/detail/it/ip_20_2317" TargetMode="External"/><Relationship Id="rId44" Type="http://schemas.openxmlformats.org/officeDocument/2006/relationships/hyperlink" Target="https://dc5k4hhhkzdqp.cloudfront.net/media/Carta_dei_diritti_fondamentali_dellUE.pdf" TargetMode="External"/><Relationship Id="rId52" Type="http://schemas.openxmlformats.org/officeDocument/2006/relationships/hyperlink" Target="https://ec.europa.eu/info/law/better-regulation/have-your-say/initiatives/1788-Multiannual-Financial-Framework-Rights-and-Values-programme-2021-2027" TargetMode="External"/><Relationship Id="rId60" Type="http://schemas.openxmlformats.org/officeDocument/2006/relationships/hyperlink" Target="https://ec.europa.eu/info/strategy/eu-budget/long-term-eu-budget/2021-2027/revenue/own-resources/plastic-own-resource_en" TargetMode="External"/><Relationship Id="rId65" Type="http://schemas.openxmlformats.org/officeDocument/2006/relationships/hyperlink" Target="https://www.europarl.europa.eu/news/it/press-room/20200910IPR86815/voto-sulle-risorse-proprie-i-deputati-aprono-la-via-al-piano-di-ripresa" TargetMode="External"/><Relationship Id="rId73" Type="http://schemas.openxmlformats.org/officeDocument/2006/relationships/hyperlink" Target="https://eit.europa.eu/our-communities/eit-innovation-communities" TargetMode="External"/><Relationship Id="rId78" Type="http://schemas.openxmlformats.org/officeDocument/2006/relationships/hyperlink" Target="https://research-innovation-days.ec.europa.eu/" TargetMode="External"/><Relationship Id="rId81" Type="http://schemas.openxmlformats.org/officeDocument/2006/relationships/hyperlink" Target="https://ec.europa.eu/info/horizon-europe_en"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europa.eu/info/business-economy-euro/recovery-coronavirus/recovery-and-resilience-facility_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414B-DD8E-4324-B93E-C7ACB5F8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10919</Words>
  <Characters>62239</Characters>
  <Application>Microsoft Office Word</Application>
  <DocSecurity>0</DocSecurity>
  <Lines>518</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pezzini</dc:creator>
  <cp:lastModifiedBy>Utente</cp:lastModifiedBy>
  <cp:revision>10</cp:revision>
  <cp:lastPrinted>2021-04-09T15:26:00Z</cp:lastPrinted>
  <dcterms:created xsi:type="dcterms:W3CDTF">2021-04-02T09:46:00Z</dcterms:created>
  <dcterms:modified xsi:type="dcterms:W3CDTF">2021-04-09T15:35:00Z</dcterms:modified>
</cp:coreProperties>
</file>